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49E2" w14:textId="14E99682" w:rsidR="005C4C68" w:rsidRPr="00587AE7" w:rsidRDefault="00587AE7" w:rsidP="00587AE7">
      <w:pPr>
        <w:pStyle w:val="Nzev"/>
      </w:pPr>
      <w:r>
        <w:t>Reakce autorské</w:t>
      </w:r>
      <w:r w:rsidR="00434587">
        <w:t>ho</w:t>
      </w:r>
      <w:r>
        <w:t xml:space="preserve"> kolektivu na</w:t>
      </w:r>
      <w:r w:rsidR="00DB650D">
        <w:t> </w:t>
      </w:r>
      <w:r>
        <w:t>oponentský posudek</w:t>
      </w:r>
    </w:p>
    <w:p w14:paraId="405905E2" w14:textId="7BE26FDF" w:rsidR="005C4C68" w:rsidRDefault="00D87BB8" w:rsidP="00AD6860">
      <w:pPr>
        <w:pStyle w:val="Podnadpis"/>
        <w:jc w:val="center"/>
      </w:pPr>
      <w:r w:rsidRPr="00C10E75">
        <w:t>Podpora kojení v porodnických a novorozeneckých zařízeních</w:t>
      </w:r>
    </w:p>
    <w:p w14:paraId="3243930F" w14:textId="77777777" w:rsidR="005C4C68" w:rsidRDefault="005C4C68" w:rsidP="005C4C68"/>
    <w:p w14:paraId="656D65C3" w14:textId="77777777" w:rsidR="005C4C68" w:rsidRDefault="005C4C68" w:rsidP="005C4C68"/>
    <w:p w14:paraId="30E5D656" w14:textId="77777777" w:rsidR="005C4C68" w:rsidRDefault="005C4C68" w:rsidP="005C4C68"/>
    <w:p w14:paraId="7C5C7BAD" w14:textId="77777777" w:rsidR="005C4C68" w:rsidRDefault="005C4C68" w:rsidP="005C4C68"/>
    <w:p w14:paraId="0301A545" w14:textId="77777777" w:rsidR="005C4C68" w:rsidRDefault="005C4C68" w:rsidP="005C4C68"/>
    <w:p w14:paraId="712E00A2" w14:textId="77777777" w:rsidR="005C4C68" w:rsidRDefault="005C4C68" w:rsidP="005C4C68"/>
    <w:p w14:paraId="0CDB4C61" w14:textId="77777777" w:rsidR="005C4C68" w:rsidRDefault="005C4C68" w:rsidP="005C4C68"/>
    <w:p w14:paraId="01EC1987" w14:textId="77777777" w:rsidR="0031477E" w:rsidRDefault="0031477E" w:rsidP="005C4C68"/>
    <w:p w14:paraId="00C4C052" w14:textId="77777777" w:rsidR="0031477E" w:rsidRDefault="0031477E" w:rsidP="005C4C68"/>
    <w:p w14:paraId="24FB4CA0" w14:textId="77777777" w:rsidR="0031477E" w:rsidRDefault="0031477E" w:rsidP="005C4C68"/>
    <w:p w14:paraId="7B56278E" w14:textId="77777777" w:rsidR="0031477E" w:rsidRDefault="0031477E" w:rsidP="005C4C68"/>
    <w:p w14:paraId="770B996D" w14:textId="77777777" w:rsidR="0031477E" w:rsidRDefault="0031477E" w:rsidP="005C4C68"/>
    <w:p w14:paraId="14D5C4AC" w14:textId="77777777" w:rsidR="0031477E" w:rsidRDefault="0031477E" w:rsidP="005C4C68"/>
    <w:p w14:paraId="3D13BF4D" w14:textId="77777777" w:rsidR="0031477E" w:rsidRDefault="0031477E" w:rsidP="005C4C68"/>
    <w:p w14:paraId="287C54BF" w14:textId="77777777" w:rsidR="0031477E" w:rsidRDefault="0031477E" w:rsidP="005C4C68"/>
    <w:p w14:paraId="4B601110" w14:textId="77777777" w:rsidR="0031477E" w:rsidRDefault="0031477E" w:rsidP="005C4C68"/>
    <w:p w14:paraId="540DE3A7" w14:textId="77777777" w:rsidR="005C4C68" w:rsidRDefault="005C4C68" w:rsidP="005C4C68"/>
    <w:p w14:paraId="33E36346" w14:textId="77777777" w:rsidR="005C4C68" w:rsidRDefault="005C4C68" w:rsidP="005C4C68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6272"/>
      </w:tblGrid>
      <w:tr w:rsidR="0031477E" w14:paraId="26C3570A" w14:textId="77777777" w:rsidTr="002123BF">
        <w:tc>
          <w:tcPr>
            <w:tcW w:w="1638" w:type="dxa"/>
            <w:tcBorders>
              <w:right w:val="single" w:sz="4" w:space="0" w:color="auto"/>
            </w:tcBorders>
          </w:tcPr>
          <w:p w14:paraId="0EC7D5CF" w14:textId="77777777" w:rsidR="0031477E" w:rsidRDefault="0031477E" w:rsidP="002123BF">
            <w:pPr>
              <w:pStyle w:val="Autoi"/>
            </w:pPr>
            <w:r>
              <w:t>Autor / Autoři:</w:t>
            </w:r>
          </w:p>
        </w:tc>
        <w:tc>
          <w:tcPr>
            <w:tcW w:w="6272" w:type="dxa"/>
            <w:tcBorders>
              <w:left w:val="single" w:sz="4" w:space="0" w:color="auto"/>
            </w:tcBorders>
          </w:tcPr>
          <w:p w14:paraId="236220B8" w14:textId="33256782" w:rsidR="0031477E" w:rsidRDefault="0031477E" w:rsidP="002123BF">
            <w:pPr>
              <w:pStyle w:val="Autoi"/>
            </w:pPr>
            <w:r>
              <w:t xml:space="preserve">Hlavní autor: </w:t>
            </w:r>
            <w:r w:rsidRPr="00F270CE">
              <w:t>MUDr. Milena Dokoupilová</w:t>
            </w:r>
          </w:p>
          <w:p w14:paraId="068E075E" w14:textId="1927128B" w:rsidR="0031477E" w:rsidRDefault="0031477E" w:rsidP="002123BF">
            <w:pPr>
              <w:pStyle w:val="Autoi"/>
            </w:pPr>
            <w:r>
              <w:t xml:space="preserve">Spoluautoři: </w:t>
            </w:r>
            <w:r w:rsidRPr="00F270CE">
              <w:t>MUDr. Iva Burianová, Ph.D.; MUDr. Hana Wiedermannová, Ph.D.; prof. MUDr. Jan Janota, Ph.D.; MUDr. Alena Šebková; MUDr. Kristýna Zárubová, Ph.D.; Jana Sudíková; Lucie Žáčková; MUDr. Jan Malý, Ph.D.; Ing. Zuzana Krpelánová, MSc.; Mgr. Iuliia Pavlovska, PhD., Mgr. Pavel Kopečný; Mgr. et Mgr. Jana Kopečná; PhDr. Miloslav Klugar, Ph.D.</w:t>
            </w:r>
          </w:p>
          <w:p w14:paraId="11BD506E" w14:textId="77777777" w:rsidR="0031477E" w:rsidRDefault="0031477E" w:rsidP="002123BF">
            <w:pPr>
              <w:pStyle w:val="Autoi"/>
            </w:pPr>
          </w:p>
        </w:tc>
      </w:tr>
      <w:tr w:rsidR="0031477E" w14:paraId="39C3A8A9" w14:textId="77777777" w:rsidTr="002123BF">
        <w:tc>
          <w:tcPr>
            <w:tcW w:w="1638" w:type="dxa"/>
            <w:tcBorders>
              <w:right w:val="single" w:sz="4" w:space="0" w:color="auto"/>
            </w:tcBorders>
          </w:tcPr>
          <w:p w14:paraId="2EEEF4A0" w14:textId="77777777" w:rsidR="0031477E" w:rsidRDefault="0031477E" w:rsidP="002123BF">
            <w:pPr>
              <w:pStyle w:val="Autoi"/>
            </w:pPr>
            <w:r>
              <w:t>Datum:</w:t>
            </w:r>
            <w:r>
              <w:tab/>
            </w:r>
          </w:p>
        </w:tc>
        <w:tc>
          <w:tcPr>
            <w:tcW w:w="6272" w:type="dxa"/>
            <w:tcBorders>
              <w:left w:val="single" w:sz="4" w:space="0" w:color="auto"/>
            </w:tcBorders>
          </w:tcPr>
          <w:p w14:paraId="202B575F" w14:textId="04571EE2" w:rsidR="0031477E" w:rsidRDefault="0031477E" w:rsidP="002123BF">
            <w:pPr>
              <w:pStyle w:val="Autoi"/>
            </w:pPr>
            <w:r>
              <w:t>0</w:t>
            </w:r>
            <w:r w:rsidR="00D556FC">
              <w:t>5</w:t>
            </w:r>
            <w:r>
              <w:t>. 12. 2025</w:t>
            </w:r>
          </w:p>
        </w:tc>
      </w:tr>
    </w:tbl>
    <w:p w14:paraId="7D2C7CFC" w14:textId="77777777" w:rsidR="0031477E" w:rsidRDefault="0031477E" w:rsidP="005C4C68">
      <w:pPr>
        <w:sectPr w:rsidR="0031477E" w:rsidSect="0031477E">
          <w:headerReference w:type="default" r:id="rId11"/>
          <w:footerReference w:type="default" r:id="rId12"/>
          <w:headerReference w:type="first" r:id="rId13"/>
          <w:pgSz w:w="11906" w:h="16838" w:code="9"/>
          <w:pgMar w:top="1418" w:right="1418" w:bottom="1418" w:left="1418" w:header="567" w:footer="567" w:gutter="0"/>
          <w:pgNumType w:start="1"/>
          <w:cols w:space="708"/>
          <w:titlePg/>
          <w:docGrid w:linePitch="360"/>
        </w:sectPr>
      </w:pPr>
    </w:p>
    <w:p w14:paraId="41B2784A" w14:textId="3CF158D0" w:rsidR="00BB6E13" w:rsidRDefault="00BB6E13">
      <w:pPr>
        <w:spacing w:before="0" w:after="200" w:line="276" w:lineRule="auto"/>
        <w:jc w:val="left"/>
      </w:pPr>
    </w:p>
    <w:p w14:paraId="6D53F31B" w14:textId="5DFF5BEC" w:rsidR="004513EB" w:rsidRDefault="004513EB" w:rsidP="004513EB">
      <w:pPr>
        <w:pStyle w:val="Nadpis1"/>
        <w:numPr>
          <w:ilvl w:val="0"/>
          <w:numId w:val="0"/>
        </w:numPr>
      </w:pPr>
      <w:r>
        <w:t>Reakce na oponentský posudek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02"/>
        <w:gridCol w:w="5795"/>
        <w:gridCol w:w="5795"/>
      </w:tblGrid>
      <w:tr w:rsidR="004513EB" w:rsidRPr="004513EB" w14:paraId="4E7EB864" w14:textId="77777777" w:rsidTr="0006274C">
        <w:tc>
          <w:tcPr>
            <w:tcW w:w="858" w:type="pct"/>
            <w:vMerge w:val="restart"/>
            <w:shd w:val="clear" w:color="auto" w:fill="2C2F7A" w:themeFill="accent1"/>
          </w:tcPr>
          <w:p w14:paraId="1B47DD4E" w14:textId="77777777" w:rsidR="004513EB" w:rsidRPr="004513EB" w:rsidRDefault="004513EB" w:rsidP="004513EB">
            <w:pPr>
              <w:pStyle w:val="Tabulka-zhlav"/>
            </w:pPr>
            <w:r w:rsidRPr="004513EB">
              <w:t>Identifikační údaje oponenta</w:t>
            </w:r>
          </w:p>
        </w:tc>
        <w:tc>
          <w:tcPr>
            <w:tcW w:w="2071" w:type="pct"/>
            <w:shd w:val="clear" w:color="auto" w:fill="2C2F7A" w:themeFill="accent1"/>
          </w:tcPr>
          <w:p w14:paraId="2F01B0C9" w14:textId="77777777" w:rsidR="004513EB" w:rsidRPr="004513EB" w:rsidRDefault="004513EB" w:rsidP="004513EB">
            <w:pPr>
              <w:spacing w:before="0" w:after="0"/>
              <w:jc w:val="lef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4513EB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Titul, jméno, příjmení</w:t>
            </w:r>
          </w:p>
        </w:tc>
        <w:tc>
          <w:tcPr>
            <w:tcW w:w="2071" w:type="pct"/>
            <w:shd w:val="clear" w:color="auto" w:fill="2C2F7A" w:themeFill="accent1"/>
          </w:tcPr>
          <w:p w14:paraId="6EE7D261" w14:textId="77777777" w:rsidR="004513EB" w:rsidRPr="004513EB" w:rsidRDefault="004513EB" w:rsidP="004513EB">
            <w:pPr>
              <w:spacing w:before="0" w:after="0"/>
              <w:jc w:val="lef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4513EB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e-mailová adresa</w:t>
            </w:r>
          </w:p>
        </w:tc>
      </w:tr>
      <w:tr w:rsidR="004513EB" w:rsidRPr="004513EB" w14:paraId="296010E5" w14:textId="77777777" w:rsidTr="0006274C">
        <w:tc>
          <w:tcPr>
            <w:tcW w:w="858" w:type="pct"/>
            <w:vMerge/>
            <w:shd w:val="clear" w:color="auto" w:fill="2C2F7A" w:themeFill="accent1"/>
          </w:tcPr>
          <w:p w14:paraId="6E74B68E" w14:textId="77777777" w:rsidR="004513EB" w:rsidRPr="004513EB" w:rsidRDefault="004513EB" w:rsidP="004513EB">
            <w:pPr>
              <w:spacing w:before="0" w:after="0"/>
              <w:jc w:val="lef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1" w:type="pct"/>
          </w:tcPr>
          <w:p w14:paraId="0E8C6AD0" w14:textId="4FBE3A8E" w:rsidR="004513EB" w:rsidRPr="004513EB" w:rsidRDefault="00794FE4" w:rsidP="004513EB">
            <w:pPr>
              <w:spacing w:before="0" w:after="0"/>
              <w:jc w:val="left"/>
              <w:rPr>
                <w:rFonts w:asciiTheme="minorHAnsi" w:hAnsiTheme="minorHAnsi"/>
                <w:bCs/>
                <w:color w:val="000000" w:themeColor="text1" w:themeShade="BF"/>
                <w:sz w:val="20"/>
              </w:rPr>
            </w:pPr>
            <w:r>
              <w:t xml:space="preserve">Aneta, </w:t>
            </w:r>
            <w:proofErr w:type="spellStart"/>
            <w:r>
              <w:t>Majerčíková</w:t>
            </w:r>
            <w:proofErr w:type="spellEnd"/>
            <w:r>
              <w:t>, Mgr. et Mgr.</w:t>
            </w:r>
            <w:r>
              <w:br/>
            </w:r>
          </w:p>
        </w:tc>
        <w:tc>
          <w:tcPr>
            <w:tcW w:w="2071" w:type="pct"/>
          </w:tcPr>
          <w:p w14:paraId="3BEA5F8A" w14:textId="490CE5B6" w:rsidR="004513EB" w:rsidRPr="004513EB" w:rsidRDefault="00794FE4" w:rsidP="004513EB">
            <w:pPr>
              <w:spacing w:before="0" w:after="0"/>
              <w:jc w:val="left"/>
              <w:rPr>
                <w:rFonts w:asciiTheme="minorHAnsi" w:hAnsiTheme="minorHAnsi"/>
                <w:bCs/>
                <w:color w:val="000000" w:themeColor="text1" w:themeShade="BF"/>
                <w:sz w:val="20"/>
              </w:rPr>
            </w:pPr>
            <w:hyperlink r:id="rId14" w:history="1">
              <w:r>
                <w:rPr>
                  <w:rStyle w:val="Hypertextovodkaz"/>
                </w:rPr>
                <w:t>aneta.majercikova@spokojeni.org</w:t>
              </w:r>
            </w:hyperlink>
            <w:r>
              <w:br/>
            </w:r>
          </w:p>
        </w:tc>
      </w:tr>
      <w:tr w:rsidR="004513EB" w:rsidRPr="004513EB" w14:paraId="4B69E922" w14:textId="77777777" w:rsidTr="0006274C">
        <w:tc>
          <w:tcPr>
            <w:tcW w:w="858" w:type="pct"/>
            <w:vMerge w:val="restart"/>
            <w:shd w:val="clear" w:color="auto" w:fill="2C2F7A" w:themeFill="accent1"/>
          </w:tcPr>
          <w:p w14:paraId="6574D9E9" w14:textId="77777777" w:rsidR="004513EB" w:rsidRPr="004513EB" w:rsidRDefault="004513EB" w:rsidP="004513EB">
            <w:pPr>
              <w:spacing w:before="0" w:after="0"/>
              <w:jc w:val="lef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4513EB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Identifikační údaje DP/OD</w:t>
            </w:r>
          </w:p>
        </w:tc>
        <w:tc>
          <w:tcPr>
            <w:tcW w:w="2071" w:type="pct"/>
            <w:shd w:val="clear" w:color="auto" w:fill="2C2F7A" w:themeFill="accent1"/>
          </w:tcPr>
          <w:p w14:paraId="4ED8ACBD" w14:textId="77777777" w:rsidR="004513EB" w:rsidRPr="004513EB" w:rsidRDefault="004513EB" w:rsidP="004513EB">
            <w:pPr>
              <w:spacing w:before="0" w:after="0"/>
              <w:jc w:val="lef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4513EB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Název DP/OD</w:t>
            </w:r>
          </w:p>
        </w:tc>
        <w:tc>
          <w:tcPr>
            <w:tcW w:w="2071" w:type="pct"/>
            <w:shd w:val="clear" w:color="auto" w:fill="2C2F7A" w:themeFill="accent1"/>
          </w:tcPr>
          <w:p w14:paraId="6967BA7B" w14:textId="77777777" w:rsidR="004513EB" w:rsidRPr="004513EB" w:rsidRDefault="004513EB" w:rsidP="004513EB">
            <w:pPr>
              <w:spacing w:before="0" w:after="0"/>
              <w:jc w:val="lef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4513EB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Garant DP/OD</w:t>
            </w:r>
          </w:p>
        </w:tc>
      </w:tr>
      <w:tr w:rsidR="004513EB" w:rsidRPr="004513EB" w14:paraId="78EFAD0C" w14:textId="77777777" w:rsidTr="0006274C">
        <w:tc>
          <w:tcPr>
            <w:tcW w:w="858" w:type="pct"/>
            <w:vMerge/>
            <w:shd w:val="clear" w:color="auto" w:fill="2C2F7A" w:themeFill="accent1"/>
          </w:tcPr>
          <w:p w14:paraId="39219F22" w14:textId="77777777" w:rsidR="004513EB" w:rsidRPr="004513EB" w:rsidRDefault="004513EB" w:rsidP="004513EB">
            <w:pPr>
              <w:spacing w:before="0" w:after="0"/>
              <w:jc w:val="left"/>
              <w:rPr>
                <w:rFonts w:asciiTheme="minorHAnsi" w:hAnsiTheme="minorHAnsi"/>
                <w:bCs/>
                <w:color w:val="000000" w:themeColor="text1" w:themeShade="BF"/>
                <w:sz w:val="20"/>
              </w:rPr>
            </w:pPr>
          </w:p>
        </w:tc>
        <w:tc>
          <w:tcPr>
            <w:tcW w:w="2071" w:type="pct"/>
          </w:tcPr>
          <w:p w14:paraId="59E2B6C3" w14:textId="5AD8DF75" w:rsidR="004513EB" w:rsidRPr="004513EB" w:rsidRDefault="00D87BB8" w:rsidP="004513EB">
            <w:pPr>
              <w:spacing w:before="0" w:after="0"/>
              <w:jc w:val="left"/>
              <w:rPr>
                <w:rFonts w:asciiTheme="minorHAnsi" w:hAnsiTheme="minorHAnsi"/>
                <w:bCs/>
                <w:color w:val="000000" w:themeColor="text1" w:themeShade="BF"/>
                <w:sz w:val="20"/>
              </w:rPr>
            </w:pPr>
            <w:r w:rsidRPr="00C10E75">
              <w:t>Podpora kojení v porodnických a novorozeneckých zařízeních</w:t>
            </w:r>
          </w:p>
        </w:tc>
        <w:tc>
          <w:tcPr>
            <w:tcW w:w="2071" w:type="pct"/>
          </w:tcPr>
          <w:p w14:paraId="698A47C1" w14:textId="4F594970" w:rsidR="004513EB" w:rsidRPr="004513EB" w:rsidRDefault="00D87BB8" w:rsidP="004513EB">
            <w:pPr>
              <w:spacing w:before="0" w:after="0"/>
              <w:jc w:val="left"/>
              <w:rPr>
                <w:rFonts w:asciiTheme="minorHAnsi" w:hAnsiTheme="minorHAnsi"/>
                <w:bCs/>
                <w:color w:val="000000" w:themeColor="text1" w:themeShade="BF"/>
                <w:sz w:val="20"/>
              </w:rPr>
            </w:pPr>
            <w:r w:rsidRPr="00FE6A47">
              <w:t xml:space="preserve">MUDr. </w:t>
            </w:r>
            <w:r>
              <w:t>Milena Dokoupilová</w:t>
            </w:r>
          </w:p>
        </w:tc>
      </w:tr>
      <w:tr w:rsidR="004513EB" w:rsidRPr="004513EB" w14:paraId="1A020C47" w14:textId="77777777" w:rsidTr="0006274C">
        <w:trPr>
          <w:trHeight w:val="778"/>
        </w:trPr>
        <w:tc>
          <w:tcPr>
            <w:tcW w:w="5000" w:type="pct"/>
            <w:gridSpan w:val="3"/>
          </w:tcPr>
          <w:p w14:paraId="3F4A6AE4" w14:textId="77777777" w:rsidR="004513EB" w:rsidRDefault="0050470B" w:rsidP="004513EB">
            <w:pPr>
              <w:spacing w:before="0" w:after="0"/>
              <w:jc w:val="left"/>
              <w:rPr>
                <w:rFonts w:asciiTheme="minorHAnsi" w:hAnsiTheme="minorHAnsi"/>
                <w:bCs/>
                <w:color w:val="000000" w:themeColor="text1" w:themeShade="BF"/>
                <w:sz w:val="20"/>
              </w:rPr>
            </w:pPr>
            <w:r>
              <w:rPr>
                <w:rFonts w:asciiTheme="minorHAnsi" w:hAnsiTheme="minorHAnsi"/>
                <w:bCs/>
                <w:color w:val="000000" w:themeColor="text1" w:themeShade="BF"/>
                <w:sz w:val="20"/>
              </w:rPr>
              <w:t>Jedná se o posudek z:</w:t>
            </w:r>
          </w:p>
          <w:p w14:paraId="67D56D09" w14:textId="715012CE" w:rsidR="0050470B" w:rsidRDefault="00000000" w:rsidP="004513EB">
            <w:pPr>
              <w:spacing w:before="0" w:after="0"/>
              <w:jc w:val="left"/>
              <w:rPr>
                <w:rFonts w:asciiTheme="minorHAnsi" w:hAnsiTheme="minorHAnsi"/>
                <w:bCs/>
                <w:color w:val="000000" w:themeColor="text1" w:themeShade="BF"/>
                <w:sz w:val="20"/>
              </w:rPr>
            </w:pPr>
            <w:sdt>
              <w:sdtPr>
                <w:rPr>
                  <w:rFonts w:asciiTheme="minorHAnsi" w:hAnsiTheme="minorHAnsi"/>
                  <w:bCs/>
                  <w:color w:val="000000" w:themeColor="text1" w:themeShade="BF"/>
                  <w:sz w:val="20"/>
                </w:rPr>
                <w:id w:val="-162137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70B">
                  <w:rPr>
                    <w:rFonts w:ascii="MS Gothic" w:eastAsia="MS Gothic" w:hAnsi="MS Gothic" w:hint="eastAsia"/>
                    <w:bCs/>
                    <w:color w:val="000000" w:themeColor="text1" w:themeShade="BF"/>
                    <w:sz w:val="20"/>
                  </w:rPr>
                  <w:t>☐</w:t>
                </w:r>
              </w:sdtContent>
            </w:sdt>
            <w:r w:rsidR="0050470B">
              <w:rPr>
                <w:rFonts w:asciiTheme="minorHAnsi" w:hAnsiTheme="minorHAnsi"/>
                <w:bCs/>
                <w:color w:val="000000" w:themeColor="text1" w:themeShade="BF"/>
                <w:sz w:val="20"/>
              </w:rPr>
              <w:t xml:space="preserve"> Interní odborné oponentury</w:t>
            </w:r>
          </w:p>
          <w:p w14:paraId="1B229D87" w14:textId="619FAD16" w:rsidR="0050470B" w:rsidRPr="004513EB" w:rsidRDefault="00000000" w:rsidP="002A2CA8">
            <w:pPr>
              <w:spacing w:before="0" w:after="0"/>
              <w:jc w:val="left"/>
              <w:rPr>
                <w:rFonts w:asciiTheme="minorHAnsi" w:hAnsiTheme="minorHAnsi"/>
                <w:bCs/>
                <w:color w:val="000000" w:themeColor="text1" w:themeShade="BF"/>
                <w:sz w:val="20"/>
              </w:rPr>
            </w:pPr>
            <w:sdt>
              <w:sdtPr>
                <w:rPr>
                  <w:rFonts w:asciiTheme="minorHAnsi" w:hAnsiTheme="minorHAnsi"/>
                  <w:bCs/>
                  <w:color w:val="000000" w:themeColor="text1" w:themeShade="BF"/>
                  <w:sz w:val="20"/>
                </w:rPr>
                <w:id w:val="17842338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87BB8">
                  <w:rPr>
                    <w:rFonts w:ascii="MS Gothic" w:eastAsia="MS Gothic" w:hAnsi="MS Gothic" w:hint="eastAsia"/>
                    <w:bCs/>
                    <w:color w:val="000000" w:themeColor="text1" w:themeShade="BF"/>
                    <w:sz w:val="20"/>
                  </w:rPr>
                  <w:t>☒</w:t>
                </w:r>
              </w:sdtContent>
            </w:sdt>
            <w:r w:rsidR="0050470B">
              <w:rPr>
                <w:rFonts w:asciiTheme="minorHAnsi" w:hAnsiTheme="minorHAnsi"/>
                <w:bCs/>
                <w:color w:val="000000" w:themeColor="text1" w:themeShade="BF"/>
                <w:sz w:val="20"/>
              </w:rPr>
              <w:t xml:space="preserve"> Veřejné oponentury</w:t>
            </w:r>
          </w:p>
        </w:tc>
      </w:tr>
    </w:tbl>
    <w:p w14:paraId="37B7A529" w14:textId="77777777" w:rsidR="004513EB" w:rsidRDefault="004513EB" w:rsidP="004513EB"/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6941"/>
        <w:gridCol w:w="7655"/>
      </w:tblGrid>
      <w:tr w:rsidR="00913832" w14:paraId="3352A893" w14:textId="77777777" w:rsidTr="0006274C">
        <w:tc>
          <w:tcPr>
            <w:tcW w:w="6941" w:type="dxa"/>
            <w:shd w:val="clear" w:color="auto" w:fill="2C2F7A" w:themeFill="accent1"/>
          </w:tcPr>
          <w:p w14:paraId="3BC437E0" w14:textId="4F4B49D1" w:rsidR="00913832" w:rsidRDefault="00913832" w:rsidP="00913832">
            <w:pPr>
              <w:pStyle w:val="Tabulka-zhlav"/>
            </w:pPr>
            <w:r>
              <w:t>Znění připomínky</w:t>
            </w:r>
          </w:p>
        </w:tc>
        <w:tc>
          <w:tcPr>
            <w:tcW w:w="7655" w:type="dxa"/>
            <w:shd w:val="clear" w:color="auto" w:fill="2C2F7A" w:themeFill="accent1"/>
          </w:tcPr>
          <w:p w14:paraId="71A0726D" w14:textId="7289CD75" w:rsidR="00913832" w:rsidRDefault="00913832" w:rsidP="00913832">
            <w:pPr>
              <w:pStyle w:val="Tabulka-zhlav"/>
            </w:pPr>
            <w:r>
              <w:t>Reakce autorského kolektivu</w:t>
            </w:r>
          </w:p>
        </w:tc>
      </w:tr>
      <w:tr w:rsidR="008C62B7" w14:paraId="5C13FB1B" w14:textId="77777777" w:rsidTr="0006274C">
        <w:tc>
          <w:tcPr>
            <w:tcW w:w="6941" w:type="dxa"/>
          </w:tcPr>
          <w:p w14:paraId="27FAC6EB" w14:textId="7A8C72AF" w:rsidR="008C62B7" w:rsidRDefault="008C62B7" w:rsidP="00794FE4">
            <w:r>
              <w:t>Dokument deklaruje GRADE ADOLOPMENT, nicméně odkazuje se pouze na část zdrojových materiály WHO/UNICEF týkající se Baby-</w:t>
            </w:r>
            <w:proofErr w:type="spellStart"/>
            <w:r>
              <w:t>friendly</w:t>
            </w:r>
            <w:proofErr w:type="spellEnd"/>
            <w:r>
              <w:t xml:space="preserve"> </w:t>
            </w:r>
            <w:proofErr w:type="spellStart"/>
            <w:r>
              <w:t>Hospital</w:t>
            </w:r>
            <w:proofErr w:type="spellEnd"/>
            <w:r>
              <w:t xml:space="preserve"> </w:t>
            </w:r>
            <w:proofErr w:type="spellStart"/>
            <w:r>
              <w:t>Initiative</w:t>
            </w:r>
            <w:proofErr w:type="spellEnd"/>
            <w:r>
              <w:t xml:space="preserve"> (</w:t>
            </w:r>
            <w:proofErr w:type="spellStart"/>
            <w:r>
              <w:t>Implementation</w:t>
            </w:r>
            <w:proofErr w:type="spellEnd"/>
            <w:r>
              <w:t xml:space="preserve"> </w:t>
            </w:r>
            <w:proofErr w:type="spellStart"/>
            <w:r>
              <w:t>guidance</w:t>
            </w:r>
            <w:proofErr w:type="spellEnd"/>
            <w:r>
              <w:t xml:space="preserve">, Monitoring </w:t>
            </w:r>
            <w:proofErr w:type="spellStart"/>
            <w:r>
              <w:t>manual</w:t>
            </w:r>
            <w:proofErr w:type="spellEnd"/>
            <w:r>
              <w:t xml:space="preserve">). V použitých zdrojích tak chybí, přes deklaraci o zaměření na všechny skupiny dětí včetně nedonošených, normativní </w:t>
            </w:r>
            <w:proofErr w:type="spellStart"/>
            <w:r>
              <w:t>guidance</w:t>
            </w:r>
            <w:proofErr w:type="spellEnd"/>
            <w:r>
              <w:t xml:space="preserve"> WHO/UNICEF k malým, nemocným a nedonošeným novorozencům (</w:t>
            </w:r>
            <w:hyperlink r:id="rId15" w:history="1">
              <w:r>
                <w:rPr>
                  <w:rStyle w:val="Hypertextovodkaz"/>
                </w:rPr>
                <w:t>https://www.who.int/publications/i/item/9789240005648</w:t>
              </w:r>
            </w:hyperlink>
            <w:r>
              <w:t>) a další relevantní dokumenty WHO a UNICEF. Obdobně reduktivně přistupuje OD k Mezinárodnímu kodexu marketingu náhrad mateřského mléka, jehož navazující rezoluce nereflektuje.</w:t>
            </w:r>
          </w:p>
        </w:tc>
        <w:tc>
          <w:tcPr>
            <w:tcW w:w="7655" w:type="dxa"/>
          </w:tcPr>
          <w:p w14:paraId="4232FCEC" w14:textId="77777777" w:rsidR="008C62B7" w:rsidRPr="00F9643D" w:rsidRDefault="008C62B7" w:rsidP="00913832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t>Panel děkuje za připomínku.</w:t>
            </w:r>
          </w:p>
          <w:p w14:paraId="603FCE4B" w14:textId="77777777" w:rsidR="00700E71" w:rsidRPr="00F9643D" w:rsidRDefault="00700E71" w:rsidP="00913832">
            <w:pPr>
              <w:pStyle w:val="Tabulka-obsah"/>
              <w:rPr>
                <w:bCs w:val="0"/>
              </w:rPr>
            </w:pPr>
          </w:p>
          <w:p w14:paraId="4E2F6FA2" w14:textId="0B591AF1" w:rsidR="008C62B7" w:rsidRPr="00F9643D" w:rsidRDefault="008C62B7" w:rsidP="008C62B7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t xml:space="preserve">Operativní doporučení bylo zpracováno formou </w:t>
            </w:r>
            <w:proofErr w:type="spellStart"/>
            <w:r w:rsidRPr="00F9643D">
              <w:rPr>
                <w:bCs w:val="0"/>
              </w:rPr>
              <w:t>adolopmentu</w:t>
            </w:r>
            <w:proofErr w:type="spellEnd"/>
            <w:r w:rsidRPr="00F9643D">
              <w:rPr>
                <w:bCs w:val="0"/>
              </w:rPr>
              <w:t>, přičemž většina doporučení byla převzata (</w:t>
            </w:r>
            <w:r w:rsidR="007E5BDB">
              <w:rPr>
                <w:bCs w:val="0"/>
              </w:rPr>
              <w:t>nemodifikována</w:t>
            </w:r>
            <w:r w:rsidRPr="00F9643D">
              <w:rPr>
                <w:bCs w:val="0"/>
              </w:rPr>
              <w:t xml:space="preserve">) v původní podobě z mezinárodního </w:t>
            </w:r>
            <w:proofErr w:type="spellStart"/>
            <w:r w:rsidRPr="00F9643D">
              <w:rPr>
                <w:bCs w:val="0"/>
              </w:rPr>
              <w:t>guideline</w:t>
            </w:r>
            <w:proofErr w:type="spellEnd"/>
            <w:r w:rsidRPr="00F9643D">
              <w:rPr>
                <w:bCs w:val="0"/>
              </w:rPr>
              <w:t xml:space="preserve"> WHO 2017</w:t>
            </w:r>
            <w:r w:rsidR="00C11982">
              <w:rPr>
                <w:bCs w:val="0"/>
              </w:rPr>
              <w:t xml:space="preserve"> </w:t>
            </w:r>
            <w:r w:rsidR="00C11982">
              <w:rPr>
                <w:bCs w:val="0"/>
              </w:rPr>
              <w:fldChar w:fldCharType="begin"/>
            </w:r>
            <w:r w:rsidR="00C11982">
              <w:rPr>
                <w:bCs w:val="0"/>
              </w:rPr>
              <w:instrText xml:space="preserve"> ADDIN EN.CITE &lt;EndNote&gt;&lt;Cite&gt;&lt;Year&gt;2017&lt;/Year&gt;&lt;RecNum&gt;1&lt;/RecNum&gt;&lt;DisplayText&gt;(&lt;style face="italic"&gt;Guideline: Protecting, Promoting and Supporting Breastfeeding in Facilities Providing Maternity and Newborn Services&lt;/style&gt;, 2017)&lt;/DisplayText&gt;&lt;record&gt;&lt;rec-number&gt;1&lt;/rec-number&gt;&lt;foreign-keys&gt;&lt;key app="EN" db-id="zwatfppdwp9rvpe0fpavdrty00afdrde2se0" timestamp="1764876937"&gt;1&lt;/key&gt;&lt;/foreign-keys&gt;&lt;ref-type name="Book"&gt;6&lt;/ref-type&gt;&lt;contributors&gt;&lt;/contributors&gt;&lt;titles&gt;&lt;title&gt;Guideline: Protecting, Promoting and Supporting Breastfeeding in Facilities Providing Maternity and Newborn Services&lt;/title&gt;&lt;/titles&gt;&lt;dates&gt;&lt;year&gt;&lt;style face="normal" font="default" charset="238" size="100%"&gt;2017&lt;/style&gt;&lt;/year&gt;&lt;/dates&gt;&lt;pub-location&gt;Geneva&lt;/pub-location&gt;&lt;publisher&gt;World Health Organization&lt;/publisher&gt;&lt;urls&gt;&lt;related-urls&gt;&lt;url&gt;https://www.ncbi.nlm.nih.gov/books/NBK487812/&lt;/url&gt;&lt;/related-urls&gt;&lt;/urls&gt;&lt;/record&gt;&lt;/Cite&gt;&lt;/EndNote&gt;</w:instrText>
            </w:r>
            <w:r w:rsidR="00C11982">
              <w:rPr>
                <w:bCs w:val="0"/>
              </w:rPr>
              <w:fldChar w:fldCharType="separate"/>
            </w:r>
            <w:r w:rsidR="00C11982">
              <w:rPr>
                <w:bCs w:val="0"/>
                <w:noProof/>
              </w:rPr>
              <w:t>(</w:t>
            </w:r>
            <w:r w:rsidR="00C11982" w:rsidRPr="00C11982">
              <w:rPr>
                <w:bCs w:val="0"/>
                <w:i/>
                <w:noProof/>
              </w:rPr>
              <w:t>Guideline: Protecting, Promoting and Supporting Breastfeeding in Facilities Providing Maternity and Newborn Services</w:t>
            </w:r>
            <w:r w:rsidR="00C11982">
              <w:rPr>
                <w:bCs w:val="0"/>
                <w:noProof/>
              </w:rPr>
              <w:t>, 2017)</w:t>
            </w:r>
            <w:r w:rsidR="00C11982">
              <w:rPr>
                <w:bCs w:val="0"/>
              </w:rPr>
              <w:fldChar w:fldCharType="end"/>
            </w:r>
            <w:r w:rsidRPr="00F9643D">
              <w:rPr>
                <w:bCs w:val="0"/>
              </w:rPr>
              <w:t>.</w:t>
            </w:r>
          </w:p>
          <w:p w14:paraId="220EC195" w14:textId="77777777" w:rsidR="008C62B7" w:rsidRPr="00F9643D" w:rsidRDefault="008C62B7" w:rsidP="00913832">
            <w:pPr>
              <w:pStyle w:val="Tabulka-obsah"/>
              <w:rPr>
                <w:bCs w:val="0"/>
              </w:rPr>
            </w:pPr>
          </w:p>
          <w:p w14:paraId="637E0BB8" w14:textId="77777777" w:rsidR="00F9643D" w:rsidRPr="0006274C" w:rsidRDefault="00F9643D" w:rsidP="00F9643D">
            <w:pPr>
              <w:pStyle w:val="Tabulka-obsah"/>
              <w:rPr>
                <w:bCs w:val="0"/>
              </w:rPr>
            </w:pPr>
            <w:r w:rsidRPr="0006274C">
              <w:rPr>
                <w:bCs w:val="0"/>
              </w:rPr>
              <w:t xml:space="preserve">Stejně jako zdrojový </w:t>
            </w:r>
            <w:proofErr w:type="spellStart"/>
            <w:r w:rsidRPr="0006274C">
              <w:rPr>
                <w:bCs w:val="0"/>
              </w:rPr>
              <w:t>guideline</w:t>
            </w:r>
            <w:proofErr w:type="spellEnd"/>
            <w:r w:rsidRPr="0006274C">
              <w:rPr>
                <w:bCs w:val="0"/>
              </w:rPr>
              <w:t xml:space="preserve"> WHO z roku 2017 jsou operativní doporučení NIKEZ zaměřena na péči o donošené novorozence, ale také na předčasně narozené, novorozence s nízkou porodní hmotností či nemocné děti, včetně těch na jednotkách intenzivní péče. Je to proto, že péči o tyto skupiny nelze zcela oddělit od péče o donošené novorozence – probíhá ve stejných zařízeních a často ji zajišťuje stejný personál.</w:t>
            </w:r>
          </w:p>
          <w:p w14:paraId="75946F6D" w14:textId="77777777" w:rsidR="00F9643D" w:rsidRPr="0006274C" w:rsidRDefault="00F9643D" w:rsidP="00F9643D">
            <w:pPr>
              <w:pStyle w:val="Tabulka-obsah"/>
              <w:rPr>
                <w:bCs w:val="0"/>
              </w:rPr>
            </w:pPr>
            <w:r w:rsidRPr="0006274C">
              <w:rPr>
                <w:bCs w:val="0"/>
              </w:rPr>
              <w:t>Dokument však neposkytuje podrobný návod, jak o malé, nemocné a/nebo předčasně narozené novorozence pečovat. Pouze vymezuje standardy a klíčové kroky při kojení a poskytování mateřského mléka této skupině. Detailnější doporučení k výživě malých, nemocných a/nebo předčasně narozených novorozenců jsou nad rámec tohoto dokumentu.</w:t>
            </w:r>
          </w:p>
          <w:p w14:paraId="532C9C79" w14:textId="77777777" w:rsidR="008C62B7" w:rsidRPr="00F9643D" w:rsidRDefault="008C62B7" w:rsidP="00913832">
            <w:pPr>
              <w:pStyle w:val="Tabulka-obsah"/>
              <w:rPr>
                <w:bCs w:val="0"/>
              </w:rPr>
            </w:pPr>
          </w:p>
          <w:p w14:paraId="79E5C7EC" w14:textId="0E634BDA" w:rsidR="00B962D8" w:rsidRPr="00557840" w:rsidRDefault="00B962D8" w:rsidP="00B962D8">
            <w:pPr>
              <w:pStyle w:val="Tabulka-obsah"/>
            </w:pPr>
            <w:r w:rsidRPr="00557840">
              <w:lastRenderedPageBreak/>
              <w:t xml:space="preserve">Informace o </w:t>
            </w:r>
            <w:r w:rsidRPr="005A2E57">
              <w:t>Mezinárodním kodexu marketingu náhrad mateřského mléka</w:t>
            </w:r>
            <w:r w:rsidRPr="00557840">
              <w:t xml:space="preserve"> byla doplněna </w:t>
            </w:r>
            <w:r>
              <w:t>přímo do zněni doporučení číslo 1</w:t>
            </w:r>
            <w:r w:rsidRPr="00557840">
              <w:t>, konzultována s WHO.</w:t>
            </w:r>
          </w:p>
          <w:p w14:paraId="5AADE416" w14:textId="5317899A" w:rsidR="008C62B7" w:rsidRPr="00F9643D" w:rsidRDefault="008C62B7" w:rsidP="00913832">
            <w:pPr>
              <w:pStyle w:val="Tabulka-obsah"/>
              <w:rPr>
                <w:bCs w:val="0"/>
              </w:rPr>
            </w:pPr>
          </w:p>
        </w:tc>
      </w:tr>
      <w:tr w:rsidR="008C62B7" w14:paraId="4BF8E08F" w14:textId="77777777" w:rsidTr="0006274C">
        <w:tc>
          <w:tcPr>
            <w:tcW w:w="6941" w:type="dxa"/>
          </w:tcPr>
          <w:p w14:paraId="1715B49D" w14:textId="7C6AAE3D" w:rsidR="008C62B7" w:rsidDel="008C62B7" w:rsidRDefault="008C62B7" w:rsidP="00794FE4">
            <w:r>
              <w:lastRenderedPageBreak/>
              <w:t>Sada PICO není plně kongruentní s relevantními materiály WHO a UNICEF k programu Baby-</w:t>
            </w:r>
            <w:proofErr w:type="spellStart"/>
            <w:r>
              <w:t>friendly</w:t>
            </w:r>
            <w:proofErr w:type="spellEnd"/>
            <w:r>
              <w:t xml:space="preserve"> </w:t>
            </w:r>
            <w:proofErr w:type="spellStart"/>
            <w:r>
              <w:t>Hospital</w:t>
            </w:r>
            <w:proofErr w:type="spellEnd"/>
            <w:r>
              <w:t xml:space="preserve"> </w:t>
            </w:r>
            <w:proofErr w:type="spellStart"/>
            <w:r>
              <w:t>Initiative</w:t>
            </w:r>
            <w:proofErr w:type="spellEnd"/>
            <w:r>
              <w:t>, konkrétně:</w:t>
            </w:r>
            <w:r>
              <w:br/>
              <w:t>1. Některé požadavky WHO/UNICEF jsou jen implicitní nebo chybí jako samostatné otázky (zejm. plná implementace Mezinárodního kodexu marketingu náhrad mateřského mléka a navazujících rezolucí). Chybí také samostatná otázka na ochranu před komerčním vlivem.</w:t>
            </w:r>
          </w:p>
        </w:tc>
        <w:tc>
          <w:tcPr>
            <w:tcW w:w="7655" w:type="dxa"/>
          </w:tcPr>
          <w:p w14:paraId="67D2017F" w14:textId="77777777" w:rsidR="008C62B7" w:rsidRPr="00F9643D" w:rsidRDefault="008C62B7" w:rsidP="008C62B7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t>Panel děkuje za připomínku.</w:t>
            </w:r>
          </w:p>
          <w:p w14:paraId="77191A9A" w14:textId="2BF47B99" w:rsidR="008C62B7" w:rsidRPr="00F9643D" w:rsidRDefault="008C62B7" w:rsidP="00913832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t xml:space="preserve">Operativní doporučení bylo zpracováno formou </w:t>
            </w:r>
            <w:proofErr w:type="spellStart"/>
            <w:r w:rsidRPr="00F9643D">
              <w:rPr>
                <w:bCs w:val="0"/>
              </w:rPr>
              <w:t>adolopmentu</w:t>
            </w:r>
            <w:proofErr w:type="spellEnd"/>
            <w:r w:rsidRPr="00F9643D">
              <w:rPr>
                <w:bCs w:val="0"/>
              </w:rPr>
              <w:t>, přičemž většina doporučení byla převzata (</w:t>
            </w:r>
            <w:r w:rsidR="001C4428">
              <w:rPr>
                <w:bCs w:val="0"/>
              </w:rPr>
              <w:t>nemodifikována</w:t>
            </w:r>
            <w:r w:rsidRPr="00F9643D">
              <w:rPr>
                <w:bCs w:val="0"/>
              </w:rPr>
              <w:t xml:space="preserve">) v původní podobě z mezinárodního </w:t>
            </w:r>
            <w:proofErr w:type="spellStart"/>
            <w:r w:rsidRPr="00F9643D">
              <w:rPr>
                <w:bCs w:val="0"/>
              </w:rPr>
              <w:t>guideline</w:t>
            </w:r>
            <w:proofErr w:type="spellEnd"/>
            <w:r w:rsidRPr="00F9643D">
              <w:rPr>
                <w:bCs w:val="0"/>
              </w:rPr>
              <w:t xml:space="preserve"> WHO 2017</w:t>
            </w:r>
            <w:r w:rsidR="00C11982">
              <w:rPr>
                <w:bCs w:val="0"/>
              </w:rPr>
              <w:t xml:space="preserve">  </w:t>
            </w:r>
            <w:r w:rsidR="00C11982">
              <w:rPr>
                <w:bCs w:val="0"/>
              </w:rPr>
              <w:fldChar w:fldCharType="begin"/>
            </w:r>
            <w:r w:rsidR="00C11982">
              <w:rPr>
                <w:bCs w:val="0"/>
              </w:rPr>
              <w:instrText xml:space="preserve"> ADDIN EN.CITE &lt;EndNote&gt;&lt;Cite&gt;&lt;Year&gt;2017&lt;/Year&gt;&lt;RecNum&gt;1&lt;/RecNum&gt;&lt;DisplayText&gt;(&lt;style face="italic"&gt;Guideline: Protecting, Promoting and Supporting Breastfeeding in Facilities Providing Maternity and Newborn Services&lt;/style&gt;, 2017)&lt;/DisplayText&gt;&lt;record&gt;&lt;rec-number&gt;1&lt;/rec-number&gt;&lt;foreign-keys&gt;&lt;key app="EN" db-id="zwatfppdwp9rvpe0fpavdrty00afdrde2se0" timestamp="1764876937"&gt;1&lt;/key&gt;&lt;/foreign-keys&gt;&lt;ref-type name="Book"&gt;6&lt;/ref-type&gt;&lt;contributors&gt;&lt;/contributors&gt;&lt;titles&gt;&lt;title&gt;Guideline: Protecting, Promoting and Supporting Breastfeeding in Facilities Providing Maternity and Newborn Services&lt;/title&gt;&lt;/titles&gt;&lt;dates&gt;&lt;year&gt;&lt;style face="normal" font="default" charset="238" size="100%"&gt;2017&lt;/style&gt;&lt;/year&gt;&lt;/dates&gt;&lt;pub-location&gt;Geneva&lt;/pub-location&gt;&lt;publisher&gt;World Health Organization&lt;/publisher&gt;&lt;urls&gt;&lt;related-urls&gt;&lt;url&gt;https://www.ncbi.nlm.nih.gov/books/NBK487812/&lt;/url&gt;&lt;/related-urls&gt;&lt;/urls&gt;&lt;/record&gt;&lt;/Cite&gt;&lt;/EndNote&gt;</w:instrText>
            </w:r>
            <w:r w:rsidR="00C11982">
              <w:rPr>
                <w:bCs w:val="0"/>
              </w:rPr>
              <w:fldChar w:fldCharType="separate"/>
            </w:r>
            <w:r w:rsidR="00C11982">
              <w:rPr>
                <w:bCs w:val="0"/>
                <w:noProof/>
              </w:rPr>
              <w:t>(</w:t>
            </w:r>
            <w:r w:rsidR="00C11982" w:rsidRPr="00C11982">
              <w:rPr>
                <w:bCs w:val="0"/>
                <w:i/>
                <w:noProof/>
              </w:rPr>
              <w:t>Guideline: Protecting, Promoting and Supporting Breastfeeding in Facilities Providing Maternity and Newborn Services</w:t>
            </w:r>
            <w:r w:rsidR="00C11982">
              <w:rPr>
                <w:bCs w:val="0"/>
                <w:noProof/>
              </w:rPr>
              <w:t>, 2017)</w:t>
            </w:r>
            <w:r w:rsidR="00C11982">
              <w:rPr>
                <w:bCs w:val="0"/>
              </w:rPr>
              <w:fldChar w:fldCharType="end"/>
            </w:r>
            <w:r w:rsidRPr="00F9643D">
              <w:rPr>
                <w:bCs w:val="0"/>
              </w:rPr>
              <w:t xml:space="preserve">, kde ochrana před komerčním vlivem nebyla zpracovaná jako samostatní otázka </w:t>
            </w:r>
          </w:p>
          <w:p w14:paraId="3435F9A8" w14:textId="77777777" w:rsidR="008C62B7" w:rsidRPr="00F9643D" w:rsidRDefault="008C62B7" w:rsidP="00913832">
            <w:pPr>
              <w:pStyle w:val="Tabulka-obsah"/>
              <w:rPr>
                <w:bCs w:val="0"/>
              </w:rPr>
            </w:pPr>
          </w:p>
          <w:p w14:paraId="7695D69B" w14:textId="77777777" w:rsidR="00B962D8" w:rsidRPr="00557840" w:rsidRDefault="00B962D8" w:rsidP="00B962D8">
            <w:pPr>
              <w:pStyle w:val="Tabulka-obsah"/>
            </w:pPr>
            <w:r w:rsidRPr="00557840">
              <w:t xml:space="preserve">Informace o </w:t>
            </w:r>
            <w:r w:rsidRPr="005A2E57">
              <w:t>Mezinárodním kodexu marketingu náhrad mateřského mléka</w:t>
            </w:r>
            <w:r w:rsidRPr="00557840">
              <w:t xml:space="preserve"> byla doplněna </w:t>
            </w:r>
            <w:r>
              <w:t>přímo do zněni doporučení číslo 1</w:t>
            </w:r>
            <w:r w:rsidRPr="00557840">
              <w:t>, konzultována s WHO.</w:t>
            </w:r>
          </w:p>
          <w:p w14:paraId="36BEACD3" w14:textId="4906C537" w:rsidR="008C62B7" w:rsidRPr="00F9643D" w:rsidRDefault="008C62B7" w:rsidP="00913832">
            <w:pPr>
              <w:pStyle w:val="Tabulka-obsah"/>
              <w:rPr>
                <w:bCs w:val="0"/>
              </w:rPr>
            </w:pPr>
          </w:p>
        </w:tc>
      </w:tr>
      <w:tr w:rsidR="008C62B7" w14:paraId="06181BD3" w14:textId="77777777" w:rsidTr="0006274C">
        <w:tc>
          <w:tcPr>
            <w:tcW w:w="6941" w:type="dxa"/>
          </w:tcPr>
          <w:p w14:paraId="4D73FEA6" w14:textId="5B034952" w:rsidR="008C62B7" w:rsidDel="008C62B7" w:rsidRDefault="008C62B7" w:rsidP="00794FE4">
            <w:r>
              <w:t>Monitoring a zlepšování kvality (CQI) – v textu se indikátory objevují až na konci, ale PICO pro rutinní sběr dat, sebehodnocení a externí ověřování (což BFHI a NIKEZ považují za klíčové pro implementaci a IK) není formulována.</w:t>
            </w:r>
            <w:r>
              <w:br/>
            </w:r>
          </w:p>
        </w:tc>
        <w:tc>
          <w:tcPr>
            <w:tcW w:w="7655" w:type="dxa"/>
          </w:tcPr>
          <w:p w14:paraId="261832CB" w14:textId="77777777" w:rsidR="008C62B7" w:rsidRPr="00F9643D" w:rsidRDefault="008C62B7" w:rsidP="008C62B7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t>Panel děkuje za připomínku.</w:t>
            </w:r>
          </w:p>
          <w:p w14:paraId="09615823" w14:textId="013CFB9B" w:rsidR="008C62B7" w:rsidRPr="00F9643D" w:rsidRDefault="008C62B7" w:rsidP="008C62B7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t xml:space="preserve">Operativní doporučení bylo zpracováno formou </w:t>
            </w:r>
            <w:proofErr w:type="spellStart"/>
            <w:r w:rsidRPr="00F9643D">
              <w:rPr>
                <w:bCs w:val="0"/>
              </w:rPr>
              <w:t>adolopmentu</w:t>
            </w:r>
            <w:proofErr w:type="spellEnd"/>
            <w:r w:rsidRPr="00F9643D">
              <w:rPr>
                <w:bCs w:val="0"/>
              </w:rPr>
              <w:t>, přičemž většina doporučení byla převzata (</w:t>
            </w:r>
            <w:r w:rsidR="00866834">
              <w:rPr>
                <w:bCs w:val="0"/>
              </w:rPr>
              <w:t>nemodifikována</w:t>
            </w:r>
            <w:r w:rsidRPr="00F9643D">
              <w:rPr>
                <w:bCs w:val="0"/>
              </w:rPr>
              <w:t xml:space="preserve">) v původní podobě z mezinárodního </w:t>
            </w:r>
            <w:proofErr w:type="spellStart"/>
            <w:r w:rsidRPr="00F9643D">
              <w:rPr>
                <w:bCs w:val="0"/>
              </w:rPr>
              <w:t>guideline</w:t>
            </w:r>
            <w:proofErr w:type="spellEnd"/>
            <w:r w:rsidRPr="00F9643D">
              <w:rPr>
                <w:bCs w:val="0"/>
              </w:rPr>
              <w:t xml:space="preserve"> WHO 2017</w:t>
            </w:r>
            <w:r w:rsidR="00C11982">
              <w:rPr>
                <w:bCs w:val="0"/>
              </w:rPr>
              <w:t xml:space="preserve"> </w:t>
            </w:r>
            <w:r w:rsidR="00C11982">
              <w:rPr>
                <w:bCs w:val="0"/>
              </w:rPr>
              <w:fldChar w:fldCharType="begin"/>
            </w:r>
            <w:r w:rsidR="00C11982">
              <w:rPr>
                <w:bCs w:val="0"/>
              </w:rPr>
              <w:instrText xml:space="preserve"> ADDIN EN.CITE &lt;EndNote&gt;&lt;Cite&gt;&lt;Year&gt;2017&lt;/Year&gt;&lt;RecNum&gt;1&lt;/RecNum&gt;&lt;DisplayText&gt;(&lt;style face="italic"&gt;Guideline: Protecting, Promoting and Supporting Breastfeeding in Facilities Providing Maternity and Newborn Services&lt;/style&gt;, 2017)&lt;/DisplayText&gt;&lt;record&gt;&lt;rec-number&gt;1&lt;/rec-number&gt;&lt;foreign-keys&gt;&lt;key app="EN" db-id="zwatfppdwp9rvpe0fpavdrty00afdrde2se0" timestamp="1764876937"&gt;1&lt;/key&gt;&lt;/foreign-keys&gt;&lt;ref-type name="Book"&gt;6&lt;/ref-type&gt;&lt;contributors&gt;&lt;/contributors&gt;&lt;titles&gt;&lt;title&gt;Guideline: Protecting, Promoting and Supporting Breastfeeding in Facilities Providing Maternity and Newborn Services&lt;/title&gt;&lt;/titles&gt;&lt;dates&gt;&lt;year&gt;&lt;style face="normal" font="default" charset="238" size="100%"&gt;2017&lt;/style&gt;&lt;/year&gt;&lt;/dates&gt;&lt;pub-location&gt;Geneva&lt;/pub-location&gt;&lt;publisher&gt;World Health Organization&lt;/publisher&gt;&lt;urls&gt;&lt;related-urls&gt;&lt;url&gt;https://www.ncbi.nlm.nih.gov/books/NBK487812/&lt;/url&gt;&lt;/related-urls&gt;&lt;/urls&gt;&lt;/record&gt;&lt;/Cite&gt;&lt;/EndNote&gt;</w:instrText>
            </w:r>
            <w:r w:rsidR="00C11982">
              <w:rPr>
                <w:bCs w:val="0"/>
              </w:rPr>
              <w:fldChar w:fldCharType="separate"/>
            </w:r>
            <w:r w:rsidR="00C11982">
              <w:rPr>
                <w:bCs w:val="0"/>
                <w:noProof/>
              </w:rPr>
              <w:t>(</w:t>
            </w:r>
            <w:r w:rsidR="00C11982" w:rsidRPr="00C11982">
              <w:rPr>
                <w:bCs w:val="0"/>
                <w:i/>
                <w:noProof/>
              </w:rPr>
              <w:t>Guideline: Protecting, Promoting and Supporting Breastfeeding in Facilities Providing Maternity and Newborn Services</w:t>
            </w:r>
            <w:r w:rsidR="00C11982">
              <w:rPr>
                <w:bCs w:val="0"/>
                <w:noProof/>
              </w:rPr>
              <w:t>, 2017)</w:t>
            </w:r>
            <w:r w:rsidR="00C11982">
              <w:rPr>
                <w:bCs w:val="0"/>
              </w:rPr>
              <w:fldChar w:fldCharType="end"/>
            </w:r>
            <w:r w:rsidRPr="00F9643D">
              <w:rPr>
                <w:bCs w:val="0"/>
              </w:rPr>
              <w:t>, kde rutinní sběr dat, sebehodnocení a externí ověřování nebyli zpracované jako samostatní otázky</w:t>
            </w:r>
          </w:p>
          <w:p w14:paraId="75FD00E4" w14:textId="77777777" w:rsidR="008C62B7" w:rsidRPr="00F9643D" w:rsidRDefault="008C62B7" w:rsidP="00913832">
            <w:pPr>
              <w:pStyle w:val="Tabulka-obsah"/>
              <w:rPr>
                <w:bCs w:val="0"/>
              </w:rPr>
            </w:pPr>
          </w:p>
        </w:tc>
      </w:tr>
      <w:tr w:rsidR="008C62B7" w14:paraId="67F06C4A" w14:textId="77777777" w:rsidTr="0006274C">
        <w:tc>
          <w:tcPr>
            <w:tcW w:w="6941" w:type="dxa"/>
          </w:tcPr>
          <w:p w14:paraId="7C585D0D" w14:textId="19337413" w:rsidR="008C62B7" w:rsidDel="008C62B7" w:rsidRDefault="008C62B7" w:rsidP="00794FE4">
            <w:r>
              <w:t xml:space="preserve">Nejednoznačně vymezená populace a scénáře – není důsledně napsáno u všech otázek, zda platí pro donošené i předčasné, po CS, při odloučení matka–dítě atd. (části </w:t>
            </w:r>
            <w:proofErr w:type="spellStart"/>
            <w:r>
              <w:t>preterm</w:t>
            </w:r>
            <w:proofErr w:type="spellEnd"/>
            <w:r>
              <w:t>/NNIP je zmíněna, ale ne konzistentně napříč otázkami).</w:t>
            </w:r>
            <w:r>
              <w:br/>
            </w:r>
          </w:p>
        </w:tc>
        <w:tc>
          <w:tcPr>
            <w:tcW w:w="7655" w:type="dxa"/>
          </w:tcPr>
          <w:p w14:paraId="77E02518" w14:textId="77777777" w:rsidR="008C62B7" w:rsidRPr="00F9643D" w:rsidRDefault="008C62B7" w:rsidP="008C62B7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t>Panel děkuje za připomínku.</w:t>
            </w:r>
          </w:p>
          <w:p w14:paraId="64F6B7A7" w14:textId="408CDFFF" w:rsidR="008C62B7" w:rsidRPr="00BC5B12" w:rsidRDefault="008C62B7" w:rsidP="0006274C">
            <w:r w:rsidRPr="00F9643D">
              <w:rPr>
                <w:rFonts w:asciiTheme="minorHAnsi" w:hAnsiTheme="minorHAnsi"/>
                <w:color w:val="000000" w:themeColor="text1" w:themeShade="BF"/>
                <w:sz w:val="20"/>
              </w:rPr>
              <w:t>Otázky ve formátu PICO a popis intervencí byl</w:t>
            </w:r>
            <w:r w:rsidR="00805DC7">
              <w:rPr>
                <w:rFonts w:asciiTheme="minorHAnsi" w:hAnsiTheme="minorHAnsi"/>
                <w:color w:val="000000" w:themeColor="text1" w:themeShade="BF"/>
                <w:sz w:val="20"/>
              </w:rPr>
              <w:t>y</w:t>
            </w:r>
            <w:r w:rsidRPr="00F9643D">
              <w:rPr>
                <w:rFonts w:asciiTheme="minorHAnsi" w:hAnsiTheme="minorHAnsi"/>
                <w:color w:val="000000" w:themeColor="text1" w:themeShade="BF"/>
                <w:sz w:val="20"/>
              </w:rPr>
              <w:t xml:space="preserve"> přidané do přílohy B, tak aby odpovídali zdrojovému </w:t>
            </w:r>
            <w:proofErr w:type="spellStart"/>
            <w:r w:rsidRPr="00F9643D">
              <w:rPr>
                <w:rFonts w:asciiTheme="minorHAnsi" w:hAnsiTheme="minorHAnsi"/>
                <w:color w:val="000000" w:themeColor="text1" w:themeShade="BF"/>
                <w:sz w:val="20"/>
              </w:rPr>
              <w:t>guidelinu</w:t>
            </w:r>
            <w:proofErr w:type="spellEnd"/>
          </w:p>
        </w:tc>
      </w:tr>
      <w:tr w:rsidR="008C62B7" w14:paraId="0B8DB69E" w14:textId="77777777" w:rsidTr="0006274C">
        <w:tc>
          <w:tcPr>
            <w:tcW w:w="6941" w:type="dxa"/>
          </w:tcPr>
          <w:p w14:paraId="32E9E240" w14:textId="55307E40" w:rsidR="008C62B7" w:rsidDel="008C62B7" w:rsidRDefault="00B42372" w:rsidP="00794FE4">
            <w:r>
              <w:t xml:space="preserve">Navrhněte řešení problému a podložte jej důkazy: Plná shoda návrhu OD s požadavky programu </w:t>
            </w:r>
            <w:proofErr w:type="spellStart"/>
            <w:r>
              <w:t>BfHI</w:t>
            </w:r>
            <w:proofErr w:type="spellEnd"/>
            <w:r>
              <w:t xml:space="preserve"> (WHO/UNICEF) a metodikou NIKEZ si vyžádá výraznější přepracování dokumentu. Nejde pouze o drobné úpravy formulací, ale o systematické doplnění chybějících oblastí, novou strukturalizaci PICO otázek a vytvoření navazujících implementačních a monitorovacích mechanismů. Bez této revize není možné zajistit metodickou kongruenci, auditovatelnost ani praktickou použitelnost doporučení v českém kontextu.</w:t>
            </w:r>
            <w:r>
              <w:br/>
              <w:t xml:space="preserve">A. Explicitní mapování na BFHI + Mezinárodní kodex marketingu náhrad </w:t>
            </w:r>
            <w:r>
              <w:lastRenderedPageBreak/>
              <w:t>mateřského mléka a navazující rezoluce</w:t>
            </w:r>
            <w:r>
              <w:br/>
              <w:t xml:space="preserve">Je nezbytné vytvořit komplexní korelační tabulku mezi jednotlivými PICO otázkami a „Deseti kroky k úspěšnému kojení“ programu BFHI, včetně plné operacionalizace požadavků Mezinárodního kodexu marketingu </w:t>
            </w:r>
            <w:proofErr w:type="spellStart"/>
            <w:r>
              <w:t>náhad</w:t>
            </w:r>
            <w:proofErr w:type="spellEnd"/>
            <w:r>
              <w:t xml:space="preserve"> mateřského mléka a navazujících rezolucí. Tato tabulka musí obsahovat detailní vazby nejen na obsah doporučení, ale i na procesní a implementační mechanismy (zákaz vzorků, darů a sponzoringu; školení o Kodexu; formalizované interní sebehodnocení; transparentní komunikace politiky napříč všemi úrovněmi personálu a směrem k rodičům). Bez takového mapování nelze zajistit prokazatelnou metodickou kongruenci s BFHI ani auditovatelnost souladu s Kodexem.</w:t>
            </w:r>
            <w:r>
              <w:br/>
              <w:t xml:space="preserve">Opora: </w:t>
            </w:r>
            <w:proofErr w:type="gramStart"/>
            <w:r>
              <w:t>OD</w:t>
            </w:r>
            <w:proofErr w:type="gramEnd"/>
            <w:r>
              <w:t xml:space="preserve"> již cituje </w:t>
            </w:r>
            <w:proofErr w:type="spellStart"/>
            <w:r>
              <w:t>Implementation</w:t>
            </w:r>
            <w:proofErr w:type="spellEnd"/>
            <w:r>
              <w:t xml:space="preserve"> </w:t>
            </w:r>
            <w:proofErr w:type="spellStart"/>
            <w:r>
              <w:t>guidance</w:t>
            </w:r>
            <w:proofErr w:type="spellEnd"/>
            <w:r>
              <w:t xml:space="preserve"> a Monitoring </w:t>
            </w:r>
            <w:proofErr w:type="spellStart"/>
            <w:r>
              <w:t>manual</w:t>
            </w:r>
            <w:proofErr w:type="spellEnd"/>
            <w:r>
              <w:t xml:space="preserve"> od </w:t>
            </w:r>
            <w:r w:rsidRPr="00BB5570">
              <w:t>WHO, které jednoznačně zdůrazňují potřebu prokazatelného sladění implementačních kroků a mechanismů monitorování s „Deseti kroky k úspěšnému kojení“ a s plnou aplikací Mezinárodního kodexu a souvisejících rezolucí WHA. Tyto dokumenty přímo požadují, aby na úrovni zařízení existovala transparentní vazba mezi psanou politikou, praktickými postupy a mechanismy ověřování souladu. Vytvoření systematické korelační tabulky PICO ↔ 10 kroků + Kodex proto představuje nejen metodicky legitimní, ale i nejprůkaznější způsob operacionalizace tohoto požadavku v českém kontextu, a je zároveň v souladu s metodikou NIKEZ, která vyžaduje jasné propojení mezi formulovanými otázkami, výslednými doporučeními a implementačním/monitorovacím rámcem.</w:t>
            </w:r>
            <w:r>
              <w:br/>
            </w:r>
          </w:p>
        </w:tc>
        <w:tc>
          <w:tcPr>
            <w:tcW w:w="7655" w:type="dxa"/>
          </w:tcPr>
          <w:p w14:paraId="6E5A68A9" w14:textId="77777777" w:rsidR="00F9643D" w:rsidRPr="00F9643D" w:rsidRDefault="00F9643D" w:rsidP="00F9643D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lastRenderedPageBreak/>
              <w:t>Panel děkuje za připomínku. Dokument prošel důkladnou revizí.</w:t>
            </w:r>
            <w:r w:rsidRPr="00F9643D">
              <w:rPr>
                <w:bCs w:val="0"/>
              </w:rPr>
              <w:br/>
            </w:r>
          </w:p>
          <w:p w14:paraId="13090991" w14:textId="11448700" w:rsidR="00F9643D" w:rsidRPr="00F9643D" w:rsidRDefault="00F9643D" w:rsidP="00F9643D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t>Oba dokumenty BFHI (WHO/UNICEF)</w:t>
            </w:r>
            <w:r w:rsidR="00C11982">
              <w:rPr>
                <w:bCs w:val="0"/>
              </w:rPr>
              <w:t xml:space="preserve"> </w:t>
            </w:r>
            <w:r w:rsidR="00C11982">
              <w:rPr>
                <w:bCs w:val="0"/>
              </w:rPr>
              <w:fldChar w:fldCharType="begin"/>
            </w:r>
            <w:r w:rsidR="00C11982">
              <w:rPr>
                <w:bCs w:val="0"/>
              </w:rPr>
              <w:instrText xml:space="preserve"> ADDIN EN.CITE &lt;EndNote&gt;&lt;Cite&gt;&lt;Year&gt;2018&lt;/Year&gt;&lt;RecNum&gt;2&lt;/RecNum&gt;&lt;DisplayText&gt;(&lt;style face="italic"&gt;Implementation guidance: protecting, promoting and supporting breastfeeding in facilities providing maternity and newborn services – the revised Baby-friendly Hospital Initiative&lt;/style&gt;, 2018)&lt;/DisplayText&gt;&lt;record&gt;&lt;rec-number&gt;2&lt;/rec-number&gt;&lt;foreign-keys&gt;&lt;key app="EN" db-id="zwatfppdwp9rvpe0fpavdrty00afdrde2se0" timestamp="1764877065"&gt;2&lt;/key&gt;&lt;/foreign-keys&gt;&lt;ref-type name="Book"&gt;6&lt;/ref-type&gt;&lt;contributors&gt;&lt;/contributors&gt;&lt;titles&gt;&lt;title&gt;&lt;style face="normal" font="default" size="100%"&gt;Implementation guidance: protecting, promoting and supporting breastfeeding in facilities&lt;/style&gt;&lt;style face="normal" font="default" charset="238" size="100%"&gt; &lt;/style&gt;&lt;style face="normal" font="default" size="100%"&gt;providing maternity and newborn services – the revised Baby-friendly Hospital Initiative&lt;/style&gt;&lt;/title&gt;&lt;/titles&gt;&lt;dates&gt;&lt;year&gt;&lt;style face="normal" font="default" charset="238" size="100%"&gt;2018&lt;/style&gt;&lt;/year&gt;&lt;/dates&gt;&lt;pub-location&gt;&lt;style face="normal" font="default" charset="238" size="100%"&gt;Geneva&lt;/style&gt;&lt;/pub-location&gt;&lt;publisher&gt;&lt;style face="normal" font="default" charset="238" size="100%"&gt;World Health Organization&lt;/style&gt;&lt;/publisher&gt;&lt;urls&gt;&lt;related-urls&gt;&lt;url&gt;https://www.kojeni.cz/wp-content/uploads/2020/03/bfhi-implementation-2018.pdf&lt;/url&gt;&lt;/related-urls&gt;&lt;/urls&gt;&lt;/record&gt;&lt;/Cite&gt;&lt;/EndNote&gt;</w:instrText>
            </w:r>
            <w:r w:rsidR="00C11982">
              <w:rPr>
                <w:bCs w:val="0"/>
              </w:rPr>
              <w:fldChar w:fldCharType="separate"/>
            </w:r>
            <w:r w:rsidR="00C11982">
              <w:rPr>
                <w:bCs w:val="0"/>
                <w:noProof/>
              </w:rPr>
              <w:t>(</w:t>
            </w:r>
            <w:r w:rsidR="00C11982" w:rsidRPr="00C11982">
              <w:rPr>
                <w:bCs w:val="0"/>
                <w:i/>
                <w:noProof/>
              </w:rPr>
              <w:t>Implementation guidance: protecting, promoting and supporting breastfeeding in facilities providing maternity and newborn services – the revised Baby-friendly Hospital Initiative</w:t>
            </w:r>
            <w:r w:rsidR="00C11982">
              <w:rPr>
                <w:bCs w:val="0"/>
                <w:noProof/>
              </w:rPr>
              <w:t>, 2018)</w:t>
            </w:r>
            <w:r w:rsidR="00C11982">
              <w:rPr>
                <w:bCs w:val="0"/>
              </w:rPr>
              <w:fldChar w:fldCharType="end"/>
            </w:r>
            <w:r w:rsidRPr="00F9643D">
              <w:rPr>
                <w:bCs w:val="0"/>
              </w:rPr>
              <w:t xml:space="preserve"> </w:t>
            </w:r>
            <w:r w:rsidR="00C11982">
              <w:rPr>
                <w:bCs w:val="0"/>
              </w:rPr>
              <w:t xml:space="preserve">a </w:t>
            </w:r>
            <w:r w:rsidR="00C11982">
              <w:t xml:space="preserve">Mezinárodní kodex marketingu náhrad mateřského mléka </w:t>
            </w:r>
            <w:r w:rsidRPr="00F9643D">
              <w:rPr>
                <w:bCs w:val="0"/>
              </w:rPr>
              <w:t xml:space="preserve">jsou v textu zmiňovány, nicméně operativní doporučení NIKEZ jsou koncipována jako klinický dokument určený zdravotníkům. </w:t>
            </w:r>
          </w:p>
          <w:p w14:paraId="47629484" w14:textId="77777777" w:rsidR="00F9643D" w:rsidRPr="00F9643D" w:rsidRDefault="00F9643D" w:rsidP="00F9643D">
            <w:pPr>
              <w:pStyle w:val="Tabulka-obsah"/>
              <w:rPr>
                <w:bCs w:val="0"/>
              </w:rPr>
            </w:pPr>
          </w:p>
          <w:p w14:paraId="5D4DB6AB" w14:textId="77710F3D" w:rsidR="00F9643D" w:rsidRPr="00F9643D" w:rsidRDefault="00F9643D" w:rsidP="00F9643D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t>Jejich cílem je poskytnout konkrétní, jednotný a prakticky použitelný rámec pro každodenní klinickou praxi.</w:t>
            </w:r>
          </w:p>
          <w:p w14:paraId="05C7DCEF" w14:textId="77777777" w:rsidR="00F9643D" w:rsidRPr="00F9643D" w:rsidRDefault="00F9643D" w:rsidP="00F9643D">
            <w:pPr>
              <w:pStyle w:val="Tabulka-obsah"/>
              <w:rPr>
                <w:bCs w:val="0"/>
              </w:rPr>
            </w:pPr>
          </w:p>
          <w:p w14:paraId="096594AB" w14:textId="7AE6DD61" w:rsidR="00F9643D" w:rsidRPr="00F9643D" w:rsidRDefault="00F9643D" w:rsidP="00F9643D">
            <w:pPr>
              <w:pStyle w:val="Tabulka-obsah"/>
              <w:rPr>
                <w:bCs w:val="0"/>
              </w:rPr>
            </w:pPr>
            <w:r w:rsidRPr="00DE227F">
              <w:rPr>
                <w:bCs w:val="0"/>
              </w:rPr>
              <w:t>Část týkající se Mezinárodního kodexu marketingu náhrad mateřského mléka byla přímo konzultována s WHO</w:t>
            </w:r>
            <w:r w:rsidRPr="00F9643D">
              <w:rPr>
                <w:bCs w:val="0"/>
              </w:rPr>
              <w:t>.</w:t>
            </w:r>
          </w:p>
          <w:p w14:paraId="6E93E57E" w14:textId="77777777" w:rsidR="00F9643D" w:rsidRPr="00F9643D" w:rsidRDefault="00F9643D" w:rsidP="00F9643D">
            <w:pPr>
              <w:pStyle w:val="Tabulka-obsah"/>
              <w:rPr>
                <w:bCs w:val="0"/>
              </w:rPr>
            </w:pPr>
          </w:p>
          <w:p w14:paraId="178919AA" w14:textId="6CFC867F" w:rsidR="00C11982" w:rsidRPr="00C11982" w:rsidRDefault="00F9643D" w:rsidP="00F9643D">
            <w:pPr>
              <w:pStyle w:val="Tabulka-obsah"/>
              <w:rPr>
                <w:bCs w:val="0"/>
                <w:i/>
                <w:noProof/>
              </w:rPr>
            </w:pPr>
            <w:r w:rsidRPr="00F9643D">
              <w:rPr>
                <w:bCs w:val="0"/>
              </w:rPr>
              <w:t xml:space="preserve">Z dokumentu </w:t>
            </w:r>
            <w:r w:rsidRPr="0006274C">
              <w:rPr>
                <w:bCs w:val="0"/>
              </w:rPr>
              <w:t xml:space="preserve">Monitoring </w:t>
            </w:r>
            <w:proofErr w:type="spellStart"/>
            <w:r w:rsidRPr="0006274C">
              <w:rPr>
                <w:bCs w:val="0"/>
              </w:rPr>
              <w:t>Guidance</w:t>
            </w:r>
            <w:proofErr w:type="spellEnd"/>
            <w:r w:rsidRPr="00F9643D">
              <w:rPr>
                <w:bCs w:val="0"/>
              </w:rPr>
              <w:t xml:space="preserve"> </w:t>
            </w:r>
            <w:r w:rsidR="00C11982">
              <w:rPr>
                <w:bCs w:val="0"/>
              </w:rPr>
              <w:fldChar w:fldCharType="begin"/>
            </w:r>
            <w:r w:rsidR="00C11982">
              <w:rPr>
                <w:bCs w:val="0"/>
              </w:rPr>
              <w:instrText xml:space="preserve"> ADDIN EN.CITE &lt;EndNote&gt;&lt;Cite&gt;&lt;Year&gt;2025&lt;/Year&gt;&lt;RecNum&gt;3&lt;/RecNum&gt;&lt;DisplayText&gt;(&lt;style face="italic"&gt;Protecting, promoting and supporting breastfeeding in facilities providing maternity and newborn services - The&amp;#xD;Baby-friendly Hospital Initiative: monitoring manual&lt;/style&gt;, 2025)&lt;/DisplayText&gt;&lt;record&gt;&lt;rec-number&gt;3&lt;/rec-number&gt;&lt;foreign-keys&gt;&lt;key app="EN" db-id="zwatfppdwp9rvpe0fpavdrty00afdrde2se0" timestamp="1764877242"&gt;3&lt;/key&gt;&lt;/foreign-keys&gt;&lt;ref-type name="Book"&gt;6&lt;/ref-type&gt;&lt;contributors&gt;&lt;/contributors&gt;&lt;titles&gt;&lt;title&gt;Protecting, promoting and supporting breastfeeding in facilities providing maternity and newborn services - The&amp;#xD;Baby-friendly Hospital Initiative: monitoring manual&lt;/title&gt;&lt;/titles&gt;&lt;dates&gt;&lt;year&gt;&lt;style face="normal" font="default" charset="238" size="100%"&gt;2025&lt;/style&gt;&lt;/year&gt;&lt;/dates&gt;&lt;pub-location&gt;&lt;style face="normal" font="default" charset="238" size="100%"&gt;Geneva&lt;/style&gt;&lt;/pub-location&gt;&lt;publisher&gt;&lt;style face="normal" font="default" size="100%"&gt;World Health Organization and the United Nations Children’s Fund&lt;/style&gt;&lt;style face="normal" font="default" charset="238" size="100%"&gt; &lt;/style&gt;&lt;style face="normal" font="default" size="100%"&gt;(UNICEF)&lt;/style&gt;&lt;/publisher&gt;&lt;urls&gt;&lt;/urls&gt;&lt;/record&gt;&lt;/Cite&gt;&lt;/EndNote&gt;</w:instrText>
            </w:r>
            <w:r w:rsidR="00C11982">
              <w:rPr>
                <w:bCs w:val="0"/>
              </w:rPr>
              <w:fldChar w:fldCharType="separate"/>
            </w:r>
            <w:r w:rsidR="00C11982">
              <w:rPr>
                <w:bCs w:val="0"/>
                <w:noProof/>
              </w:rPr>
              <w:t>(</w:t>
            </w:r>
            <w:r w:rsidR="00C11982" w:rsidRPr="00C11982">
              <w:rPr>
                <w:bCs w:val="0"/>
                <w:i/>
                <w:noProof/>
              </w:rPr>
              <w:t>Protecting, promoting and supporting breastfeeding in facilities providing maternity and newborn services - The</w:t>
            </w:r>
          </w:p>
          <w:p w14:paraId="19050FBB" w14:textId="2C77393B" w:rsidR="00F9643D" w:rsidRPr="00F9643D" w:rsidRDefault="00C11982" w:rsidP="00F9643D">
            <w:pPr>
              <w:pStyle w:val="Tabulka-obsah"/>
              <w:rPr>
                <w:bCs w:val="0"/>
              </w:rPr>
            </w:pPr>
            <w:r w:rsidRPr="00C11982">
              <w:rPr>
                <w:bCs w:val="0"/>
                <w:i/>
                <w:noProof/>
              </w:rPr>
              <w:t>Baby-friendly Hospital Initiative: monitoring manual</w:t>
            </w:r>
            <w:r>
              <w:rPr>
                <w:bCs w:val="0"/>
                <w:noProof/>
              </w:rPr>
              <w:t>, 2025)</w:t>
            </w:r>
            <w:r>
              <w:rPr>
                <w:bCs w:val="0"/>
              </w:rPr>
              <w:fldChar w:fldCharType="end"/>
            </w:r>
            <w:r>
              <w:rPr>
                <w:bCs w:val="0"/>
              </w:rPr>
              <w:t xml:space="preserve"> </w:t>
            </w:r>
            <w:r w:rsidR="00F9643D" w:rsidRPr="00F9643D">
              <w:rPr>
                <w:bCs w:val="0"/>
              </w:rPr>
              <w:t>byly převzaty příslušné indikátory kvality.</w:t>
            </w:r>
          </w:p>
          <w:p w14:paraId="51999248" w14:textId="44DF24B6" w:rsidR="00B42372" w:rsidRPr="00F9643D" w:rsidRDefault="00B42372" w:rsidP="00913832">
            <w:pPr>
              <w:pStyle w:val="Tabulka-obsah"/>
              <w:rPr>
                <w:bCs w:val="0"/>
              </w:rPr>
            </w:pPr>
          </w:p>
        </w:tc>
      </w:tr>
      <w:tr w:rsidR="00B42372" w14:paraId="60020C99" w14:textId="77777777" w:rsidTr="0006274C">
        <w:tc>
          <w:tcPr>
            <w:tcW w:w="6941" w:type="dxa"/>
          </w:tcPr>
          <w:p w14:paraId="43B159AD" w14:textId="77777777" w:rsidR="00B42372" w:rsidRDefault="00B42372" w:rsidP="00794FE4">
            <w:r>
              <w:lastRenderedPageBreak/>
              <w:t>Doplnění 2 průřezových PICO otázek</w:t>
            </w:r>
            <w:r>
              <w:br/>
              <w:t xml:space="preserve">PICO – Monitoring/CQI: Implementace rutinního interního monitoringu adherence k Deseti krokům </w:t>
            </w:r>
            <w:proofErr w:type="spellStart"/>
            <w:r>
              <w:t>BfHI</w:t>
            </w:r>
            <w:proofErr w:type="spellEnd"/>
            <w:r>
              <w:t xml:space="preserve"> (sjednocené procesní a výsledkové ukazatele), systematického sebehodnocení a cyklů zlepšování kvality s periodickou revizí akčních plánů; napojení na národní externí hodnocení BFHI v míře, v jaké je zavedeno. </w:t>
            </w:r>
            <w:r>
              <w:br/>
              <w:t>Výstupy (kritické): podíl SSC do 1 hod., podíl EBF při hospitalizaci/propuštění, míra adherence ke krokům.</w:t>
            </w:r>
            <w:r>
              <w:br/>
            </w:r>
            <w:r>
              <w:lastRenderedPageBreak/>
              <w:t>Výstupy (důležité): trendové analýzy a udržitelnost; EBF v 6 měsících jako ukazatel sledovaný na národní úrovni s přispěním datových toků z návazné péče.</w:t>
            </w:r>
            <w:r>
              <w:br/>
            </w:r>
            <w:r>
              <w:br/>
            </w:r>
            <w:r>
              <w:br/>
              <w:t>PICO – Kodex a komerční vliv: zavedení politiky „nulové tolerance“ porušení Kodexu s mechanismy interního auditu, sankčním rámcem a systémem transparentního řízení darů a sponzoringu. Výstupy: míra porušení Kodexu, výlučné kojení, nezávislost edukace</w:t>
            </w:r>
          </w:p>
          <w:p w14:paraId="4877E332" w14:textId="77777777" w:rsidR="00B42372" w:rsidRDefault="00B42372" w:rsidP="00794FE4"/>
          <w:p w14:paraId="4288ED3E" w14:textId="5643666E" w:rsidR="00B42372" w:rsidDel="008C62B7" w:rsidRDefault="00B42372" w:rsidP="00794FE4">
            <w:r>
              <w:t>Opora: BFHI monitoring a Kodex tvoří základní stavební kameny programu. Metodika NIKEZ požaduje, aby doporučení byla provázána s indikátory kvality a plánem implementace/monitoringu.</w:t>
            </w:r>
          </w:p>
        </w:tc>
        <w:tc>
          <w:tcPr>
            <w:tcW w:w="7655" w:type="dxa"/>
          </w:tcPr>
          <w:p w14:paraId="7FC2E94A" w14:textId="77A5AB5B" w:rsidR="003625AC" w:rsidRPr="00F9643D" w:rsidRDefault="003625AC" w:rsidP="003625AC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lastRenderedPageBreak/>
              <w:t>Panel děkuje za připomínku.</w:t>
            </w:r>
          </w:p>
          <w:p w14:paraId="7DE1EB9B" w14:textId="498CC88C" w:rsidR="003625AC" w:rsidRPr="00F9643D" w:rsidRDefault="003625AC" w:rsidP="003625AC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t xml:space="preserve">Seznam otázek přímo vychází z hlavního zdroje – </w:t>
            </w:r>
            <w:proofErr w:type="spellStart"/>
            <w:r w:rsidRPr="00F9643D">
              <w:rPr>
                <w:bCs w:val="0"/>
              </w:rPr>
              <w:t>guideline</w:t>
            </w:r>
            <w:proofErr w:type="spellEnd"/>
            <w:r w:rsidRPr="00F9643D">
              <w:rPr>
                <w:bCs w:val="0"/>
              </w:rPr>
              <w:t xml:space="preserve"> WHO </w:t>
            </w:r>
            <w:r w:rsidR="00C11982">
              <w:rPr>
                <w:bCs w:val="0"/>
              </w:rPr>
              <w:fldChar w:fldCharType="begin"/>
            </w:r>
            <w:r w:rsidR="00C11982">
              <w:rPr>
                <w:bCs w:val="0"/>
              </w:rPr>
              <w:instrText xml:space="preserve"> ADDIN EN.CITE &lt;EndNote&gt;&lt;Cite&gt;&lt;Year&gt;2017&lt;/Year&gt;&lt;RecNum&gt;1&lt;/RecNum&gt;&lt;DisplayText&gt;(&lt;style face="italic"&gt;Guideline: Protecting, Promoting and Supporting Breastfeeding in Facilities Providing Maternity and Newborn Services&lt;/style&gt;, 2017)&lt;/DisplayText&gt;&lt;record&gt;&lt;rec-number&gt;1&lt;/rec-number&gt;&lt;foreign-keys&gt;&lt;key app="EN" db-id="zwatfppdwp9rvpe0fpavdrty00afdrde2se0" timestamp="1764876937"&gt;1&lt;/key&gt;&lt;/foreign-keys&gt;&lt;ref-type name="Book"&gt;6&lt;/ref-type&gt;&lt;contributors&gt;&lt;/contributors&gt;&lt;titles&gt;&lt;title&gt;Guideline: Protecting, Promoting and Supporting Breastfeeding in Facilities Providing Maternity and Newborn Services&lt;/title&gt;&lt;/titles&gt;&lt;dates&gt;&lt;year&gt;&lt;style face="normal" font="default" charset="238" size="100%"&gt;2017&lt;/style&gt;&lt;/year&gt;&lt;/dates&gt;&lt;pub-location&gt;Geneva&lt;/pub-location&gt;&lt;publisher&gt;World Health Organization&lt;/publisher&gt;&lt;urls&gt;&lt;related-urls&gt;&lt;url&gt;https://www.ncbi.nlm.nih.gov/books/NBK487812/&lt;/url&gt;&lt;/related-urls&gt;&lt;/urls&gt;&lt;/record&gt;&lt;/Cite&gt;&lt;/EndNote&gt;</w:instrText>
            </w:r>
            <w:r w:rsidR="00C11982">
              <w:rPr>
                <w:bCs w:val="0"/>
              </w:rPr>
              <w:fldChar w:fldCharType="separate"/>
            </w:r>
            <w:r w:rsidR="00C11982">
              <w:rPr>
                <w:bCs w:val="0"/>
                <w:noProof/>
              </w:rPr>
              <w:t>(</w:t>
            </w:r>
            <w:r w:rsidR="00C11982" w:rsidRPr="00C11982">
              <w:rPr>
                <w:bCs w:val="0"/>
                <w:i/>
                <w:noProof/>
              </w:rPr>
              <w:t>Guideline: Protecting, Promoting and Supporting Breastfeeding in Facilities Providing Maternity and Newborn Services</w:t>
            </w:r>
            <w:r w:rsidR="00C11982">
              <w:rPr>
                <w:bCs w:val="0"/>
                <w:noProof/>
              </w:rPr>
              <w:t>, 2017)</w:t>
            </w:r>
            <w:r w:rsidR="00C11982">
              <w:rPr>
                <w:bCs w:val="0"/>
              </w:rPr>
              <w:fldChar w:fldCharType="end"/>
            </w:r>
            <w:r w:rsidRPr="00F9643D">
              <w:rPr>
                <w:bCs w:val="0"/>
              </w:rPr>
              <w:t>.</w:t>
            </w:r>
          </w:p>
          <w:p w14:paraId="1551A093" w14:textId="77777777" w:rsidR="003625AC" w:rsidRPr="00F9643D" w:rsidRDefault="003625AC" w:rsidP="003625AC">
            <w:pPr>
              <w:pStyle w:val="Tabulka-obsah"/>
              <w:rPr>
                <w:bCs w:val="0"/>
              </w:rPr>
            </w:pPr>
          </w:p>
          <w:p w14:paraId="5F189FBA" w14:textId="77777777" w:rsidR="003625AC" w:rsidRPr="00F9643D" w:rsidRDefault="003625AC" w:rsidP="003625AC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t>Panel NIKEZ nevytvářel vlastní doporučení, netvořil nový systém péče ani nerozhodoval o výživě kojenců.</w:t>
            </w:r>
          </w:p>
          <w:p w14:paraId="1A022996" w14:textId="62DAC5C4" w:rsidR="00B42372" w:rsidRPr="00F9643D" w:rsidRDefault="00B42372" w:rsidP="00913832">
            <w:pPr>
              <w:pStyle w:val="Tabulka-obsah"/>
              <w:rPr>
                <w:bCs w:val="0"/>
              </w:rPr>
            </w:pPr>
          </w:p>
        </w:tc>
      </w:tr>
      <w:tr w:rsidR="00B42372" w14:paraId="00311683" w14:textId="77777777" w:rsidTr="0006274C">
        <w:tc>
          <w:tcPr>
            <w:tcW w:w="6941" w:type="dxa"/>
          </w:tcPr>
          <w:p w14:paraId="7AF59A11" w14:textId="41AE9E4C" w:rsidR="00B42372" w:rsidDel="008C62B7" w:rsidRDefault="00B42372" w:rsidP="00794FE4">
            <w:r>
              <w:t>Zpřesnění „P“ (populace) napříč otázkami</w:t>
            </w:r>
            <w:r>
              <w:br/>
              <w:t>Každá PICO musí explicitně uvádět, zda se vztahuje na donošené i předčasné novorozence, na porody císařským řezem, na situace s odloučením matky a dítěte apod. Pokud se doporučení pro tyto skupiny liší, je nezbytné vytvořit sub-PICO otázky.</w:t>
            </w:r>
            <w:r>
              <w:br/>
              <w:t xml:space="preserve">Opora: Stávající OD </w:t>
            </w:r>
            <w:proofErr w:type="spellStart"/>
            <w:r>
              <w:t>preterm</w:t>
            </w:r>
            <w:proofErr w:type="spellEnd"/>
            <w:r>
              <w:t xml:space="preserve"> populaci pouze místy zmiňuje, ale ne konzistentně. Metodika NIKEZ vyžaduje jednoznačnou a úplnou definici cílové populace.</w:t>
            </w:r>
          </w:p>
        </w:tc>
        <w:tc>
          <w:tcPr>
            <w:tcW w:w="7655" w:type="dxa"/>
          </w:tcPr>
          <w:p w14:paraId="79B2FD93" w14:textId="6AE04D0E" w:rsidR="003625AC" w:rsidRPr="00F9643D" w:rsidRDefault="003625AC" w:rsidP="00913832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t>Panel děkuje za připomínku.</w:t>
            </w:r>
          </w:p>
          <w:p w14:paraId="3B2471DE" w14:textId="7833E3B1" w:rsidR="00B42372" w:rsidRPr="00F9643D" w:rsidRDefault="003625AC" w:rsidP="00913832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t xml:space="preserve">Otázky PICO převzaté ze zdrojového </w:t>
            </w:r>
            <w:proofErr w:type="spellStart"/>
            <w:r w:rsidRPr="00F9643D">
              <w:rPr>
                <w:bCs w:val="0"/>
              </w:rPr>
              <w:t>guideline</w:t>
            </w:r>
            <w:proofErr w:type="spellEnd"/>
            <w:r w:rsidRPr="00F9643D">
              <w:rPr>
                <w:bCs w:val="0"/>
              </w:rPr>
              <w:t xml:space="preserve"> byly doplněny do Přílohy B. Otázky nebyly zpřesňovány ani upravovány.</w:t>
            </w:r>
          </w:p>
        </w:tc>
      </w:tr>
      <w:tr w:rsidR="00062A98" w14:paraId="36D8A080" w14:textId="77777777" w:rsidTr="0006274C">
        <w:tc>
          <w:tcPr>
            <w:tcW w:w="6941" w:type="dxa"/>
          </w:tcPr>
          <w:p w14:paraId="309AADF3" w14:textId="006815B4" w:rsidR="00062A98" w:rsidDel="008C62B7" w:rsidRDefault="00062A98" w:rsidP="00794FE4">
            <w:r>
              <w:t xml:space="preserve">Návrh OD sice deklaruje využití GRADE-ADOLOPMENT a odkazuje na zdroje WHO a UNICEF (resp. na část z relevantních zdrojových dokumentů WHO a UNICEF), ale metodika je popsána jen schematicky, bez plné transparentnosti, jak to požaduje Národní metodika NIKEZ. Mezi hlavní nedostatky v tomto směru patří: </w:t>
            </w:r>
            <w:r>
              <w:br/>
              <w:t xml:space="preserve">1. Absence detailního popisu procesu vyhledávání a výběru důkazů – OD pouze konstatuje, že databáze WHO byla ručně prohledána, avšak zjevně nedostatečně, když hledání nepokrylo ani druhý hlavní dokument k </w:t>
            </w:r>
            <w:proofErr w:type="spellStart"/>
            <w:r>
              <w:t>BfHI</w:t>
            </w:r>
            <w:proofErr w:type="spellEnd"/>
            <w:r>
              <w:t xml:space="preserve"> (k nedonošeným dětem). </w:t>
            </w:r>
            <w:r>
              <w:br/>
            </w:r>
          </w:p>
        </w:tc>
        <w:tc>
          <w:tcPr>
            <w:tcW w:w="7655" w:type="dxa"/>
          </w:tcPr>
          <w:p w14:paraId="789D6C28" w14:textId="77777777" w:rsidR="003625AC" w:rsidRPr="0006274C" w:rsidRDefault="003625AC" w:rsidP="003625AC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Panel děkuje za připomínky. Celý dokument, včetně části věnované metodice, prošel důkladnou revizí.</w:t>
            </w:r>
          </w:p>
          <w:p w14:paraId="4A4B2DB2" w14:textId="32F58B0F" w:rsidR="003625AC" w:rsidRPr="0006274C" w:rsidRDefault="003625AC" w:rsidP="0006274C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1.Vyhledávací strategie je v plném rozsahu uvedena v Příloze I.</w:t>
            </w:r>
          </w:p>
          <w:p w14:paraId="4124E68C" w14:textId="251AC462" w:rsidR="003625AC" w:rsidRPr="0006274C" w:rsidRDefault="003625AC" w:rsidP="0006274C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2.Dokument BFHI je v operativním doporučení transparentně citován. Strategie BFHI, jejíž implementaci Česká republika schválila v září 2024, však představuje vládní politicko-strategický rámec WHO/UNICEF. Stanovuje cíle, koordinaci a implementaci programu BFHI do roku 2030 na makroúrovni a jejím účelem není nahrazovat klinické doporučené postupy</w:t>
            </w:r>
            <w:r w:rsidR="00C11982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 xml:space="preserve"> </w:t>
            </w:r>
            <w:r w:rsidR="00C11982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fldChar w:fldCharType="begin"/>
            </w:r>
            <w:r w:rsidR="00C11982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instrText xml:space="preserve"> ADDIN EN.CITE &lt;EndNote&gt;&lt;Cite&gt;&lt;Author&gt;Ministerstvo zdravotnictví České republiky&lt;/Author&gt;&lt;Year&gt;2024&lt;/Year&gt;&lt;RecNum&gt;4&lt;/RecNum&gt;&lt;DisplayText&gt;(Ministerstvo zdravotnictví České republiky, 2024)&lt;/DisplayText&gt;&lt;record&gt;&lt;rec-number&gt;4&lt;/rec-number&gt;&lt;foreign-keys&gt;&lt;key app="EN" db-id="zwatfppdwp9rvpe0fpavdrty00afdrde2se0" timestamp="1764877626"&gt;4&lt;/key&gt;&lt;/foreign-keys&gt;&lt;ref-type name="Book"&gt;6&lt;/ref-type&gt;&lt;contributors&gt;&lt;authors&gt;&lt;author&gt;&lt;style face="normal" font="default" size="100%"&gt;Ministerstvo zdravotnictví &lt;/style&gt;&lt;style face="normal" font="default" charset="238" size="100%"&gt;Česk&lt;/style&gt;&lt;style face="normal" font="default" size="100%"&gt;é republiky,&lt;/style&gt;&lt;/author&gt;&lt;/authors&gt;&lt;/contributors&gt;&lt;titles&gt;&lt;title&gt;&lt;style face="normal" font="default" size="100%"&gt;Strategie Baby-friendly Hospital Initiative 2018 v &lt;/style&gt;&lt;style face="normal" font="default" charset="238" size="100%"&gt;Česk&lt;/style&gt;&lt;style face="normal" font="default" size="100%"&gt;é republice&lt;/style&gt;&lt;/title&gt;&lt;/titles&gt;&lt;dates&gt;&lt;year&gt;2024&lt;/year&gt;&lt;/dates&gt;&lt;pub-location&gt;Praha&lt;/pub-location&gt;&lt;publisher&gt;&lt;style face="normal" font="default" size="100%"&gt;Vláda &lt;/style&gt;&lt;style face="normal" font="default" charset="238" size="100%"&gt;Česk&lt;/style&gt;&lt;style face="normal" font="default" size="100%"&gt;é republiky&lt;/style&gt;&lt;/publisher&gt;&lt;urls&gt;&lt;related-urls&gt;&lt;url&gt;https://ppo.mzcr.cz/upload/files/strategie-baby-friendly-hospital-initiative-2018-v-ceske-republice-strategie-baby-friendly-hospital-initiative-2018-v-ceske-republice-66f3c8ce236d3.pdf&lt;/url&gt;&lt;/related-urls&gt;&lt;/urls&gt;&lt;/record&gt;&lt;/Cite&gt;&lt;/EndNote&gt;</w:instrText>
            </w:r>
            <w:r w:rsidR="00C11982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fldChar w:fldCharType="separate"/>
            </w:r>
            <w:r w:rsidR="00C11982">
              <w:rPr>
                <w:rFonts w:asciiTheme="minorHAnsi" w:eastAsiaTheme="minorHAnsi" w:hAnsiTheme="minorHAnsi" w:cstheme="minorBidi"/>
                <w:noProof/>
                <w:color w:val="000000" w:themeColor="text1" w:themeShade="BF"/>
                <w:sz w:val="20"/>
                <w:szCs w:val="22"/>
                <w:lang w:eastAsia="en-US"/>
              </w:rPr>
              <w:t>(Ministerstvo zdravotnictví České republiky, 2024)</w:t>
            </w:r>
            <w:r w:rsidR="00C11982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fldChar w:fldCharType="end"/>
            </w: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.</w:t>
            </w:r>
          </w:p>
          <w:p w14:paraId="3FAD5D61" w14:textId="5FDB9386" w:rsidR="003625AC" w:rsidRPr="0006274C" w:rsidRDefault="003625AC" w:rsidP="0006274C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 xml:space="preserve">3.Operativní doporučení NIKEZ mají odlišnou funkci: poskytují klinická doporučení určená ke sjednocení postupů v porodnicích a dalších zařízeních poskytujících porodnickou a novorozeneckou péči. Jak uvádí i samotná strategie BFHI, klinické postupy nejsou ve většině českých nemocnic dosud dostatečně etablovány. Proto </w:t>
            </w: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lastRenderedPageBreak/>
              <w:t>byla klinická doporučení NIKEZ zpracována – aby nabídla jednotný, konkrétní a prakticky použitelný rámec pro každodenní klinickou praxi.</w:t>
            </w:r>
          </w:p>
          <w:p w14:paraId="39100690" w14:textId="77777777" w:rsidR="00062A98" w:rsidRPr="0006274C" w:rsidRDefault="00062A98" w:rsidP="00062A98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</w:p>
        </w:tc>
      </w:tr>
      <w:tr w:rsidR="00062A98" w14:paraId="1AAFA48B" w14:textId="77777777" w:rsidTr="0006274C">
        <w:tc>
          <w:tcPr>
            <w:tcW w:w="6941" w:type="dxa"/>
          </w:tcPr>
          <w:p w14:paraId="0E93EB0D" w14:textId="562D354E" w:rsidR="00062A98" w:rsidDel="008C62B7" w:rsidRDefault="00062A98" w:rsidP="00062A98">
            <w:r>
              <w:lastRenderedPageBreak/>
              <w:t>2. Chybí popis práce s PICO otázkami – není doloženo, zda a jak byly jednotlivé otázky definovány, zda byly výstupy rozděleny na kritické/důležité, ani jak byly vybrány intervence a komparátory.</w:t>
            </w:r>
          </w:p>
        </w:tc>
        <w:tc>
          <w:tcPr>
            <w:tcW w:w="7655" w:type="dxa"/>
          </w:tcPr>
          <w:p w14:paraId="5BAD1947" w14:textId="5FC252AD" w:rsidR="00062A98" w:rsidRPr="00F9643D" w:rsidRDefault="0026778F" w:rsidP="0006274C">
            <w:pPr>
              <w:pStyle w:val="Tabulka-obsah"/>
            </w:pPr>
            <w:r w:rsidRPr="00F9643D">
              <w:rPr>
                <w:bCs w:val="0"/>
              </w:rPr>
              <w:t>Panel děkuje za připomínku.</w:t>
            </w:r>
            <w:r w:rsidRPr="00F9643D">
              <w:rPr>
                <w:bCs w:val="0"/>
              </w:rPr>
              <w:br/>
              <w:t xml:space="preserve">Otázky PICO převzaté ze zdrojového </w:t>
            </w:r>
            <w:proofErr w:type="spellStart"/>
            <w:r w:rsidRPr="00F9643D">
              <w:rPr>
                <w:bCs w:val="0"/>
              </w:rPr>
              <w:t>guideline</w:t>
            </w:r>
            <w:proofErr w:type="spellEnd"/>
            <w:r w:rsidRPr="00F9643D">
              <w:rPr>
                <w:bCs w:val="0"/>
              </w:rPr>
              <w:t xml:space="preserve"> byly uvedeny v Příloze B. Otázky nebyly zpřesňovány ani pozměňovány.</w:t>
            </w:r>
          </w:p>
        </w:tc>
      </w:tr>
      <w:tr w:rsidR="00062A98" w14:paraId="525A604A" w14:textId="77777777" w:rsidTr="0006274C">
        <w:tc>
          <w:tcPr>
            <w:tcW w:w="6941" w:type="dxa"/>
          </w:tcPr>
          <w:p w14:paraId="7E79DC5B" w14:textId="4A0A5161" w:rsidR="00062A98" w:rsidDel="008C62B7" w:rsidRDefault="00062A98" w:rsidP="00062A98">
            <w:r>
              <w:t>3. Nejasný proces tvorby a schvalování doporučení – není popsán postup dosažení konsenzu či práce se střety zájmů.</w:t>
            </w:r>
          </w:p>
        </w:tc>
        <w:tc>
          <w:tcPr>
            <w:tcW w:w="7655" w:type="dxa"/>
          </w:tcPr>
          <w:p w14:paraId="410A6060" w14:textId="6F9E639F" w:rsidR="0026778F" w:rsidRPr="00F9643D" w:rsidRDefault="0026778F" w:rsidP="0026778F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t>Panel děkuje za připomínku.</w:t>
            </w:r>
            <w:r w:rsidRPr="00F9643D">
              <w:rPr>
                <w:bCs w:val="0"/>
              </w:rPr>
              <w:br/>
              <w:t xml:space="preserve">Operativní doporučení bylo zpracováno formou </w:t>
            </w:r>
            <w:proofErr w:type="spellStart"/>
            <w:r w:rsidRPr="00F9643D">
              <w:rPr>
                <w:bCs w:val="0"/>
              </w:rPr>
              <w:t>adolopmentu</w:t>
            </w:r>
            <w:proofErr w:type="spellEnd"/>
            <w:r w:rsidRPr="00F9643D">
              <w:rPr>
                <w:bCs w:val="0"/>
              </w:rPr>
              <w:t>, přičemž většina doporučení byla převzata (</w:t>
            </w:r>
            <w:r w:rsidR="00BB5570">
              <w:rPr>
                <w:bCs w:val="0"/>
              </w:rPr>
              <w:t>nemodifikována</w:t>
            </w:r>
            <w:r w:rsidRPr="00F9643D">
              <w:rPr>
                <w:bCs w:val="0"/>
              </w:rPr>
              <w:t xml:space="preserve">) v původní podobě z mezinárodního </w:t>
            </w:r>
            <w:proofErr w:type="spellStart"/>
            <w:r w:rsidRPr="00F9643D">
              <w:rPr>
                <w:bCs w:val="0"/>
              </w:rPr>
              <w:t>guideline</w:t>
            </w:r>
            <w:proofErr w:type="spellEnd"/>
            <w:r w:rsidRPr="00F9643D">
              <w:rPr>
                <w:bCs w:val="0"/>
              </w:rPr>
              <w:t xml:space="preserve"> WHO 2017. Členové týmu tedy nevytvářeli vlastní doporučení, netvořili nový systém péče ani nerozhodovali o výživě kojenců.</w:t>
            </w:r>
          </w:p>
          <w:p w14:paraId="240797E1" w14:textId="2530D1C7" w:rsidR="00062A98" w:rsidRPr="00F9643D" w:rsidRDefault="0026778F" w:rsidP="0006274C">
            <w:pPr>
              <w:pStyle w:val="Tabulka-obsah"/>
            </w:pPr>
            <w:r w:rsidRPr="00F9643D">
              <w:rPr>
                <w:bCs w:val="0"/>
              </w:rPr>
              <w:t>Deklarace střetů zájmů a komentář k nim jsou uvedeny v Příloze H.</w:t>
            </w:r>
          </w:p>
        </w:tc>
      </w:tr>
      <w:tr w:rsidR="00062A98" w14:paraId="56B8CE4C" w14:textId="77777777" w:rsidTr="0006274C">
        <w:tc>
          <w:tcPr>
            <w:tcW w:w="6941" w:type="dxa"/>
          </w:tcPr>
          <w:p w14:paraId="0AB84468" w14:textId="09AAE70F" w:rsidR="00062A98" w:rsidDel="008C62B7" w:rsidRDefault="00062A98" w:rsidP="00062A98">
            <w:r w:rsidRPr="0026778F">
              <w:t>4. Chybí plán aktualizace – NIKEZ vyžaduje</w:t>
            </w:r>
            <w:r>
              <w:t xml:space="preserve"> explicitně uvést periodicitu revize a způsob monitorování nových důkazů.</w:t>
            </w:r>
            <w:r>
              <w:br/>
            </w:r>
          </w:p>
        </w:tc>
        <w:tc>
          <w:tcPr>
            <w:tcW w:w="7655" w:type="dxa"/>
          </w:tcPr>
          <w:p w14:paraId="5A24F430" w14:textId="14B2E38F" w:rsidR="00062A98" w:rsidRPr="00F9643D" w:rsidRDefault="0026778F" w:rsidP="0006274C">
            <w:pPr>
              <w:pStyle w:val="Tabulka-obsah"/>
            </w:pPr>
            <w:r w:rsidRPr="00F9643D">
              <w:rPr>
                <w:bCs w:val="0"/>
              </w:rPr>
              <w:t>Panel děkuje za připomínku.</w:t>
            </w:r>
            <w:r w:rsidRPr="00F9643D">
              <w:rPr>
                <w:bCs w:val="0"/>
              </w:rPr>
              <w:br/>
              <w:t>Plán aktualizace byl uveden jako „dle potřeby nebo v návaznosti na nové relevantní důkazy.“</w:t>
            </w:r>
            <w:r w:rsidR="00BB5570">
              <w:rPr>
                <w:bCs w:val="0"/>
              </w:rPr>
              <w:t xml:space="preserve"> Předpokládáme po aktualizaci zdrojových WHO </w:t>
            </w:r>
            <w:proofErr w:type="spellStart"/>
            <w:r w:rsidR="00BB5570">
              <w:rPr>
                <w:bCs w:val="0"/>
              </w:rPr>
              <w:t>guidelinů</w:t>
            </w:r>
            <w:proofErr w:type="spellEnd"/>
            <w:r w:rsidR="00BB5570">
              <w:rPr>
                <w:bCs w:val="0"/>
              </w:rPr>
              <w:t>.</w:t>
            </w:r>
          </w:p>
        </w:tc>
      </w:tr>
      <w:tr w:rsidR="003974B5" w14:paraId="433468A9" w14:textId="77777777" w:rsidTr="0006274C">
        <w:tc>
          <w:tcPr>
            <w:tcW w:w="6941" w:type="dxa"/>
          </w:tcPr>
          <w:p w14:paraId="4E394721" w14:textId="15E767FE" w:rsidR="003974B5" w:rsidRDefault="003974B5" w:rsidP="00062A98">
            <w:r w:rsidRPr="009C15B1">
              <w:t xml:space="preserve">Autoři deklarují využití GRADE-ADOLOPMENT a čerpají především z dokumentů WHO. Lze proto očekávat, že výsledná doporučení budou obsahově shodná s programem BFHI (WHO/UNICEF, 2018). Přesto návrh OD v některých bodech formuluje doporučení odlišně, aniž by byl uveden jasný a transparentní důvod. Není doloženo, na </w:t>
            </w:r>
            <w:proofErr w:type="gramStart"/>
            <w:r w:rsidRPr="009C15B1">
              <w:t>základě</w:t>
            </w:r>
            <w:proofErr w:type="gramEnd"/>
            <w:r w:rsidRPr="009C15B1">
              <w:t xml:space="preserve"> jakého metodického procesu byly tyto odchylky vytvořeny, nebo zda reflektují specifika českého kontextu.</w:t>
            </w:r>
          </w:p>
        </w:tc>
        <w:tc>
          <w:tcPr>
            <w:tcW w:w="7655" w:type="dxa"/>
          </w:tcPr>
          <w:p w14:paraId="066A9DCD" w14:textId="2A27C6D2" w:rsidR="003974B5" w:rsidRPr="0006274C" w:rsidRDefault="000B58A0" w:rsidP="00062A98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 xml:space="preserve">Panel děkuje za připomínku a bere ji na vědomí. Celý text operativního doporučeni prošel rozsáhlou revizi. Dokument nezpochybňuje vládní rozhodnutí ani implementaci Kodexu či programu </w:t>
            </w:r>
            <w:proofErr w:type="spellStart"/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BfHI</w:t>
            </w:r>
            <w:proofErr w:type="spellEnd"/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 xml:space="preserve"> v ČR. Naopak vychází z klinických doporučení z WHO </w:t>
            </w:r>
            <w:proofErr w:type="spellStart"/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guidelinu</w:t>
            </w:r>
            <w:proofErr w:type="spellEnd"/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 xml:space="preserve"> z roku 2017.</w:t>
            </w:r>
          </w:p>
        </w:tc>
      </w:tr>
      <w:tr w:rsidR="003974B5" w14:paraId="251AE9CE" w14:textId="77777777" w:rsidTr="0006274C">
        <w:tc>
          <w:tcPr>
            <w:tcW w:w="6941" w:type="dxa"/>
          </w:tcPr>
          <w:p w14:paraId="17279EDF" w14:textId="0E95F0BD" w:rsidR="003974B5" w:rsidRDefault="003974B5" w:rsidP="00062A98">
            <w:r>
              <w:t xml:space="preserve">Chybí transparentní </w:t>
            </w:r>
            <w:proofErr w:type="spellStart"/>
            <w:r>
              <w:t>EtD</w:t>
            </w:r>
            <w:proofErr w:type="spellEnd"/>
            <w:r>
              <w:t xml:space="preserve"> tabulky a jednoznačná návaznost mezi PICO otázkami, důkazy a výslednými doporučeními</w:t>
            </w:r>
          </w:p>
        </w:tc>
        <w:tc>
          <w:tcPr>
            <w:tcW w:w="7655" w:type="dxa"/>
          </w:tcPr>
          <w:p w14:paraId="660691F9" w14:textId="1FBA3840" w:rsidR="003974B5" w:rsidRPr="0006274C" w:rsidRDefault="0026778F" w:rsidP="00062A98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 xml:space="preserve">Struktura a formát dokumentu byly důkladně přepracovány tak, aby byla zajištěna jasná návaznost mezi PICO otázkami, důkazy a výslednými doporučeními. </w:t>
            </w:r>
            <w:proofErr w:type="spellStart"/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EtD</w:t>
            </w:r>
            <w:proofErr w:type="spellEnd"/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 xml:space="preserve"> tabulky nebyly zpracovány, protože zdrojový </w:t>
            </w:r>
            <w:proofErr w:type="spellStart"/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guideline</w:t>
            </w:r>
            <w:proofErr w:type="spellEnd"/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 xml:space="preserve"> využívá formát DECIDE, který byl do operativního doporučení převzat. DECIDE je alternativa k</w:t>
            </w:r>
            <w:r w:rsidR="00BB5570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 </w:t>
            </w:r>
            <w:proofErr w:type="spellStart"/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EtD</w:t>
            </w:r>
            <w:proofErr w:type="spellEnd"/>
            <w:r w:rsidR="00BB5570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.</w:t>
            </w:r>
          </w:p>
        </w:tc>
      </w:tr>
      <w:tr w:rsidR="00062A98" w14:paraId="780E6C4D" w14:textId="77777777" w:rsidTr="0006274C">
        <w:tc>
          <w:tcPr>
            <w:tcW w:w="6941" w:type="dxa"/>
          </w:tcPr>
          <w:p w14:paraId="7F4679AC" w14:textId="16D4FF88" w:rsidR="00062A98" w:rsidDel="008C62B7" w:rsidRDefault="003974B5" w:rsidP="00062A98">
            <w:r>
              <w:t>Dalším problémem je, že autoři v některých částech citují vlastní publikace a nekriticky je zařazují mezi podklady. Tím vzniká riziko metodické zaujatosti a oslabení neutrality doporučení.</w:t>
            </w:r>
          </w:p>
        </w:tc>
        <w:tc>
          <w:tcPr>
            <w:tcW w:w="7655" w:type="dxa"/>
          </w:tcPr>
          <w:p w14:paraId="460AD451" w14:textId="77777777" w:rsidR="0026778F" w:rsidRPr="00F9643D" w:rsidRDefault="0026778F" w:rsidP="0026778F">
            <w:pPr>
              <w:pStyle w:val="Tabulka-obsah"/>
              <w:rPr>
                <w:bCs w:val="0"/>
              </w:rPr>
            </w:pPr>
            <w:r w:rsidRPr="00F9643D">
              <w:rPr>
                <w:bCs w:val="0"/>
              </w:rPr>
              <w:t>Panel děkuje za připomínku.</w:t>
            </w:r>
          </w:p>
          <w:p w14:paraId="6B8AF376" w14:textId="0F9D4BC7" w:rsidR="00484E7B" w:rsidRPr="002123BF" w:rsidRDefault="00BB5570" w:rsidP="0006274C">
            <w:pPr>
              <w:pStyle w:val="Tabulka-obsah"/>
            </w:pPr>
            <w:r>
              <w:rPr>
                <w:bCs w:val="0"/>
              </w:rPr>
              <w:t xml:space="preserve">Text byl dále editován a </w:t>
            </w:r>
            <w:proofErr w:type="spellStart"/>
            <w:r>
              <w:rPr>
                <w:bCs w:val="0"/>
              </w:rPr>
              <w:t>a</w:t>
            </w:r>
            <w:r w:rsidR="00484E7B" w:rsidRPr="002123BF">
              <w:rPr>
                <w:bCs w:val="0"/>
              </w:rPr>
              <w:t>utocitace</w:t>
            </w:r>
            <w:proofErr w:type="spellEnd"/>
            <w:r w:rsidR="00484E7B" w:rsidRPr="002123BF">
              <w:rPr>
                <w:bCs w:val="0"/>
              </w:rPr>
              <w:t xml:space="preserve"> </w:t>
            </w:r>
            <w:r w:rsidR="00484E7B" w:rsidRPr="00F9643D">
              <w:rPr>
                <w:bCs w:val="0"/>
              </w:rPr>
              <w:t>byl</w:t>
            </w:r>
            <w:r>
              <w:rPr>
                <w:bCs w:val="0"/>
              </w:rPr>
              <w:t>y</w:t>
            </w:r>
            <w:r w:rsidR="00484E7B" w:rsidRPr="00F9643D">
              <w:rPr>
                <w:bCs w:val="0"/>
              </w:rPr>
              <w:t xml:space="preserve"> odstraněné</w:t>
            </w:r>
            <w:r>
              <w:rPr>
                <w:bCs w:val="0"/>
              </w:rPr>
              <w:t>.</w:t>
            </w:r>
            <w:r w:rsidR="00484E7B" w:rsidRPr="00F9643D">
              <w:rPr>
                <w:bCs w:val="0"/>
              </w:rPr>
              <w:t xml:space="preserve"> </w:t>
            </w:r>
          </w:p>
          <w:p w14:paraId="4DB6C773" w14:textId="77777777" w:rsidR="00062A98" w:rsidRPr="0006274C" w:rsidRDefault="00062A98" w:rsidP="00062A98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</w:p>
        </w:tc>
      </w:tr>
      <w:tr w:rsidR="003974B5" w14:paraId="733D8A8D" w14:textId="77777777" w:rsidTr="0006274C">
        <w:tc>
          <w:tcPr>
            <w:tcW w:w="6941" w:type="dxa"/>
          </w:tcPr>
          <w:p w14:paraId="4CE1D1B6" w14:textId="44699F0B" w:rsidR="003974B5" w:rsidDel="008C62B7" w:rsidRDefault="003974B5" w:rsidP="00062A98">
            <w:r w:rsidRPr="00DE227F">
              <w:t>Jiné připomínky: zdůvodněte své připomínky a konkrétně specifikujte klíčový problém: Obecně vítáme, že k programu Světové zdravotnické organizace (WHO) a UNICEF Baby-</w:t>
            </w:r>
            <w:proofErr w:type="spellStart"/>
            <w:r w:rsidRPr="00DE227F">
              <w:t>friendly</w:t>
            </w:r>
            <w:proofErr w:type="spellEnd"/>
            <w:r w:rsidRPr="00DE227F">
              <w:t xml:space="preserve"> </w:t>
            </w:r>
            <w:proofErr w:type="spellStart"/>
            <w:r w:rsidRPr="00DE227F">
              <w:t>Hospital</w:t>
            </w:r>
            <w:proofErr w:type="spellEnd"/>
            <w:r w:rsidRPr="00DE227F">
              <w:t xml:space="preserve"> </w:t>
            </w:r>
            <w:proofErr w:type="spellStart"/>
            <w:r w:rsidRPr="00DE227F">
              <w:t>Initiative</w:t>
            </w:r>
            <w:proofErr w:type="spellEnd"/>
            <w:r w:rsidRPr="00DE227F">
              <w:t xml:space="preserve"> (</w:t>
            </w:r>
            <w:proofErr w:type="spellStart"/>
            <w:r w:rsidRPr="00DE227F">
              <w:t>BfHI</w:t>
            </w:r>
            <w:proofErr w:type="spellEnd"/>
            <w:r w:rsidRPr="00DE227F">
              <w:t xml:space="preserve">), </w:t>
            </w:r>
            <w:r w:rsidRPr="00DE227F">
              <w:lastRenderedPageBreak/>
              <w:t>který je koncipován jako evidence-</w:t>
            </w:r>
            <w:proofErr w:type="spellStart"/>
            <w:r w:rsidRPr="00DE227F">
              <w:t>based</w:t>
            </w:r>
            <w:proofErr w:type="spellEnd"/>
            <w:r w:rsidRPr="00DE227F">
              <w:t xml:space="preserve"> postup vycházející z mezinárodně uznávané metodiky hodnocení kvality důkazů (GRADE), vznikají doporučení pod záštitou NIKEZ. Vytváření takového materiálu ostatně výslovně předpokládá i vládní strategie k implementaci programu </w:t>
            </w:r>
            <w:proofErr w:type="spellStart"/>
            <w:r w:rsidRPr="00DE227F">
              <w:t>BfHI</w:t>
            </w:r>
            <w:proofErr w:type="spellEnd"/>
            <w:r w:rsidRPr="00DE227F">
              <w:t xml:space="preserve"> – konkrétně jako úkol 4.2.1.</w:t>
            </w:r>
            <w:r w:rsidRPr="00DE227F">
              <w:br/>
            </w:r>
            <w:r w:rsidRPr="00DE227F">
              <w:br/>
              <w:t xml:space="preserve">Nyní předkládaný dokument však působí spíše jako rozpracovaná verze dřívějších doporučení České neonatologické společnosti k podpoře kojení na neonatologických odděleních – doporučení, která již Ministerstvo zdravotnictví v minulosti odmítlo právě pro jejich rozpor s programem </w:t>
            </w:r>
            <w:proofErr w:type="spellStart"/>
            <w:r w:rsidRPr="00DE227F">
              <w:t>BfHI</w:t>
            </w:r>
            <w:proofErr w:type="spellEnd"/>
            <w:r w:rsidRPr="00DE227F">
              <w:t xml:space="preserve"> (viz </w:t>
            </w:r>
            <w:hyperlink r:id="rId16" w:history="1">
              <w:r w:rsidRPr="00DE227F">
                <w:rPr>
                  <w:rStyle w:val="Hypertextovodkaz"/>
                </w:rPr>
                <w:t>https://ppo.mzcr.cz/upload/files/strategie-baby-friendly-hospital-initiative-2018-v-ceske-republice-vyporadaci-tabulka-strategie-baby-friendly-hospital-initiative-66f3fe3da9b58.pdf</w:t>
              </w:r>
            </w:hyperlink>
            <w:r w:rsidRPr="00DE227F">
              <w:t>, vypořádání připomínky č. 55 a obdobně č. 122). I nynější doporučení obsahuje zásadní metodické i obsahové nedostatky, a proto na ně považujeme za nutné důrazně upozornit. V podobě, v jaké byl dokument předložen, je pro nás neakceptovatelný.</w:t>
            </w:r>
            <w:r w:rsidRPr="00DE227F">
              <w:br/>
            </w:r>
            <w:r w:rsidRPr="00DE227F">
              <w:br/>
              <w:t>Není přitom jasné, proč nebyl dodržen postup stanovený vládní strategií, která vznik doporučení jednoznačně předpokládá ve spolupráci NIKEZ, Ministerstva zdravotnictví a členstva Komise pro výživu kojenců a malých dětí. Namísto toho vznikl text bez konzultace s těmito partnery, a navíc v podobě, která obsahuje natolik závažné chyby, že jej nelze považovat za relevantní podklad pro praxi.</w:t>
            </w:r>
            <w:r w:rsidRPr="00DE227F">
              <w:br/>
            </w:r>
            <w:r w:rsidRPr="00DE227F">
              <w:br/>
              <w:t xml:space="preserve">Přijetím takto vadného dokumentu by se Česká republika odchýlila od vědecky podložených mezinárodních standardů WHO a UNICEF, což by mělo přímé negativní dopady na klinickou praxi. Zvlášť tvrdě by to postihlo nejzranitelnější skupiny – nedonošené a nemocné děti či děti narozené císařským řezem – jejichž potřeby dokument ve většině případů opomíjí. O to více pak bije do očí tvrzení autorů, že cílovou skupinou jsou „všechny děti – ať již donošené, předčasně narozené, s nízkou porodní hmotností nebo nemocní novorozenci (včetně těch, které vyžadují péči na jednotkách intenzivní péče)“. Toto proklamované tvrzení je v přímém rozporu s obsahem textu, který sice některé dílčí </w:t>
            </w:r>
            <w:r w:rsidRPr="00DE227F">
              <w:lastRenderedPageBreak/>
              <w:t>aspekty péče o tyto děti zmiňuje, avšak činí tak pouze fragmentárně a bez návaznosti na existující mezinárodní standardy, a proto neposkytuje prakticky využitelný rámec pro klinickou praxi. Z tohoto pohledu je mimořádně bizarní, že jedinou přizvanou pacientskou organizací byl spolek zaměřující se právě na nedonošené děti, což se však do výsledku evidentně příliš nepropsalo</w:t>
            </w:r>
            <w:r w:rsidRPr="00B962D8">
              <w:t>.</w:t>
            </w:r>
            <w:r>
              <w:t xml:space="preserve"> </w:t>
            </w:r>
            <w:r>
              <w:br/>
            </w:r>
            <w:r>
              <w:br/>
            </w:r>
          </w:p>
        </w:tc>
        <w:tc>
          <w:tcPr>
            <w:tcW w:w="7655" w:type="dxa"/>
          </w:tcPr>
          <w:p w14:paraId="0E371C18" w14:textId="61D7EB31" w:rsidR="003974B5" w:rsidRPr="0006274C" w:rsidRDefault="00162D67" w:rsidP="00062A98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  <w:r w:rsidRPr="00162D67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lastRenderedPageBreak/>
              <w:t xml:space="preserve">Panel </w:t>
            </w:r>
            <w:r w:rsidR="00BB5570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 xml:space="preserve">děkuji za vyjádření názoru. Jak je uvedeno výše, jedná se o GRADE-ADOLOPMENT zdrojových WHO doporučení, ze kterých všechny ostatní dokumenty vychází. </w:t>
            </w:r>
          </w:p>
        </w:tc>
      </w:tr>
      <w:tr w:rsidR="003974B5" w14:paraId="04D99A9F" w14:textId="77777777" w:rsidTr="0006274C">
        <w:tc>
          <w:tcPr>
            <w:tcW w:w="6941" w:type="dxa"/>
          </w:tcPr>
          <w:p w14:paraId="7D5BA836" w14:textId="222AFB6A" w:rsidR="003974B5" w:rsidDel="008C62B7" w:rsidRDefault="005B3237" w:rsidP="00062A98">
            <w:r>
              <w:lastRenderedPageBreak/>
              <w:t xml:space="preserve">1. </w:t>
            </w:r>
            <w:r w:rsidR="003974B5">
              <w:t xml:space="preserve">Podkročení požadavků programu </w:t>
            </w:r>
            <w:proofErr w:type="spellStart"/>
            <w:r w:rsidR="003974B5">
              <w:t>BfHI</w:t>
            </w:r>
            <w:proofErr w:type="spellEnd"/>
            <w:r w:rsidR="003974B5">
              <w:t xml:space="preserve">, který představuje minimální standard kvality. Problémem by nebyla striktnější doporučení, nýbrž to, že jsou oproti programu </w:t>
            </w:r>
            <w:proofErr w:type="spellStart"/>
            <w:r w:rsidR="003974B5">
              <w:t>BfHI</w:t>
            </w:r>
            <w:proofErr w:type="spellEnd"/>
            <w:r w:rsidR="003974B5">
              <w:t xml:space="preserve"> výrazně slabší (srov. např. doporučení ke kontaktu kůže na kůži, jenž má být umožněn primárně donošeným a lehce nedonošeným dětem s dobrou poporodní adaptací),</w:t>
            </w:r>
          </w:p>
        </w:tc>
        <w:tc>
          <w:tcPr>
            <w:tcW w:w="7655" w:type="dxa"/>
          </w:tcPr>
          <w:p w14:paraId="40512A89" w14:textId="43B4EC7E" w:rsidR="003974B5" w:rsidRPr="0006274C" w:rsidRDefault="0026778F" w:rsidP="00062A98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Panel děkuje za připomínku.</w:t>
            </w: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br/>
              <w:t>Doporučení ke kontaktu kůže na kůži bylo přepracováno a celý text operativního doporučení prošel důkladnou revizí.</w:t>
            </w:r>
          </w:p>
        </w:tc>
      </w:tr>
      <w:tr w:rsidR="003974B5" w14:paraId="3952C4F3" w14:textId="77777777" w:rsidTr="0006274C">
        <w:tc>
          <w:tcPr>
            <w:tcW w:w="6941" w:type="dxa"/>
          </w:tcPr>
          <w:p w14:paraId="4139ACEB" w14:textId="3D61BC99" w:rsidR="003974B5" w:rsidDel="008C62B7" w:rsidRDefault="003974B5" w:rsidP="00062A98">
            <w:r>
              <w:t xml:space="preserve">Zúžení a dezinterpretace Mezinárodního kodexu marketingu náhrad mateřského mléka a navazujících </w:t>
            </w:r>
            <w:proofErr w:type="gramStart"/>
            <w:r>
              <w:t>rezolucí - text</w:t>
            </w:r>
            <w:proofErr w:type="gramEnd"/>
            <w:r>
              <w:t xml:space="preserve"> ke Kodexu selektivně zdůrazňuje některé jeho části, zatímco jiné ignoruje (vč. problematiky sponzoringu či obecně střetu zájmů); obsahuje nesprávné tvrzení, že vystavování náhrad mateřského mléka v prostorách pro firmy na vzdělávacích akcích je s Kodexem souladné; z použitých zdrojů je zjevné, že autoři nepracovali s navazujícími rezolucemi;</w:t>
            </w:r>
          </w:p>
        </w:tc>
        <w:tc>
          <w:tcPr>
            <w:tcW w:w="7655" w:type="dxa"/>
          </w:tcPr>
          <w:p w14:paraId="189EBEDF" w14:textId="77777777" w:rsidR="00B962D8" w:rsidRPr="00557840" w:rsidRDefault="0026778F" w:rsidP="00B962D8">
            <w:pPr>
              <w:pStyle w:val="Tabulka-obsah"/>
            </w:pPr>
            <w:r w:rsidRPr="0006274C">
              <w:t>Panel děkuje za připomínku.</w:t>
            </w:r>
            <w:r w:rsidRPr="0006274C">
              <w:br/>
            </w:r>
            <w:r w:rsidR="00B962D8" w:rsidRPr="00557840">
              <w:t xml:space="preserve">Informace o </w:t>
            </w:r>
            <w:r w:rsidR="00B962D8" w:rsidRPr="005A2E57">
              <w:t>Mezinárodním kodexu marketingu náhrad mateřského mléka</w:t>
            </w:r>
            <w:r w:rsidR="00B962D8" w:rsidRPr="00557840">
              <w:t xml:space="preserve"> byla doplněna </w:t>
            </w:r>
            <w:r w:rsidR="00B962D8">
              <w:t>přímo do zněni doporučení číslo 1</w:t>
            </w:r>
            <w:r w:rsidR="00B962D8" w:rsidRPr="00557840">
              <w:t>, konzultována s WHO.</w:t>
            </w:r>
          </w:p>
          <w:p w14:paraId="5CAB7921" w14:textId="23C8BAE1" w:rsidR="003974B5" w:rsidRPr="0006274C" w:rsidRDefault="003974B5" w:rsidP="00062A98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</w:p>
        </w:tc>
      </w:tr>
      <w:tr w:rsidR="003974B5" w14:paraId="5977023A" w14:textId="77777777" w:rsidTr="0006274C">
        <w:tc>
          <w:tcPr>
            <w:tcW w:w="6941" w:type="dxa"/>
          </w:tcPr>
          <w:p w14:paraId="5A6248D4" w14:textId="1C05D611" w:rsidR="003974B5" w:rsidDel="008C62B7" w:rsidRDefault="003974B5" w:rsidP="00062A98">
            <w:r>
              <w:t xml:space="preserve">Nedostatečná práce se </w:t>
            </w:r>
            <w:proofErr w:type="gramStart"/>
            <w:r>
              <w:t>zdroji - opomenutí</w:t>
            </w:r>
            <w:proofErr w:type="gramEnd"/>
            <w:r>
              <w:t xml:space="preserve"> i druhého nejdůležitějšího dokumentu k </w:t>
            </w:r>
            <w:proofErr w:type="spellStart"/>
            <w:r>
              <w:t>BfHI</w:t>
            </w:r>
            <w:proofErr w:type="spellEnd"/>
            <w:r>
              <w:t xml:space="preserve"> - k malým, nedonošeným a nemocným dětem; naopak nekritické využívání </w:t>
            </w:r>
            <w:proofErr w:type="spellStart"/>
            <w:r>
              <w:t>autocitací</w:t>
            </w:r>
            <w:proofErr w:type="spellEnd"/>
            <w:r>
              <w:t>;</w:t>
            </w:r>
          </w:p>
        </w:tc>
        <w:tc>
          <w:tcPr>
            <w:tcW w:w="7655" w:type="dxa"/>
          </w:tcPr>
          <w:p w14:paraId="07DE4F8C" w14:textId="77777777" w:rsidR="0026778F" w:rsidRPr="0006274C" w:rsidRDefault="0026778F" w:rsidP="0026778F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Panel děkuje za připomínku.</w:t>
            </w: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br/>
              <w:t>Problematika malých, nedonošených a nemocných dětí je velmi důležitá a rozsáhlá, a je nad rámec tohoto dokumentu.</w:t>
            </w:r>
          </w:p>
          <w:p w14:paraId="769E5771" w14:textId="586924E4" w:rsidR="0026778F" w:rsidRPr="0006274C" w:rsidRDefault="0026778F" w:rsidP="0026778F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  <w:proofErr w:type="spellStart"/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Autocitace</w:t>
            </w:r>
            <w:proofErr w:type="spellEnd"/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 xml:space="preserve"> </w:t>
            </w:r>
            <w:r w:rsidR="00484E7B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 xml:space="preserve">byli odstraněné </w:t>
            </w:r>
          </w:p>
          <w:p w14:paraId="0790CF8D" w14:textId="7A5772DC" w:rsidR="005B3237" w:rsidRPr="0006274C" w:rsidRDefault="005B3237" w:rsidP="00062A98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</w:p>
        </w:tc>
      </w:tr>
      <w:tr w:rsidR="003974B5" w14:paraId="5B0F3D6F" w14:textId="77777777" w:rsidTr="0006274C">
        <w:tc>
          <w:tcPr>
            <w:tcW w:w="6941" w:type="dxa"/>
          </w:tcPr>
          <w:p w14:paraId="71F8D9AD" w14:textId="10B19693" w:rsidR="003974B5" w:rsidDel="008C62B7" w:rsidRDefault="003974B5" w:rsidP="00062A98">
            <w:r>
              <w:t xml:space="preserve">Vědecky nepodložená tvrzení - např. o důvodech neúspěšnosti programu </w:t>
            </w:r>
            <w:proofErr w:type="spellStart"/>
            <w:r>
              <w:t>BfHI</w:t>
            </w:r>
            <w:proofErr w:type="spellEnd"/>
            <w:r>
              <w:t xml:space="preserve"> na straně matek; ideální poměr laktačních poradkyň vůči klientkám; kojení ve frekvenci </w:t>
            </w:r>
            <w:proofErr w:type="gramStart"/>
            <w:r>
              <w:t>8-12x</w:t>
            </w:r>
            <w:proofErr w:type="gramEnd"/>
            <w:r>
              <w:t xml:space="preserve"> za den;</w:t>
            </w:r>
            <w:r>
              <w:br/>
            </w:r>
          </w:p>
        </w:tc>
        <w:tc>
          <w:tcPr>
            <w:tcW w:w="7655" w:type="dxa"/>
          </w:tcPr>
          <w:p w14:paraId="72C3C2A6" w14:textId="11E8F90F" w:rsidR="003974B5" w:rsidRPr="0006274C" w:rsidRDefault="0026778F" w:rsidP="00062A98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Panel děkuje za připomínku.</w:t>
            </w: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br/>
            </w:r>
            <w:r w:rsidR="00F57D9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Text prošel revizí a p</w:t>
            </w: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roblematická</w:t>
            </w:r>
            <w:r w:rsidR="005B3237"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 xml:space="preserve"> tvrzeni byli z textu odstraněná</w:t>
            </w:r>
            <w:r w:rsidR="00BC5B12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.</w:t>
            </w:r>
            <w:r w:rsidR="005B3237"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 xml:space="preserve"> </w:t>
            </w:r>
          </w:p>
        </w:tc>
      </w:tr>
      <w:tr w:rsidR="005B3237" w14:paraId="3B481405" w14:textId="77777777" w:rsidTr="0006274C">
        <w:tc>
          <w:tcPr>
            <w:tcW w:w="6941" w:type="dxa"/>
          </w:tcPr>
          <w:p w14:paraId="64D6831B" w14:textId="31FDC03C" w:rsidR="005B3237" w:rsidDel="008C62B7" w:rsidRDefault="005B3237" w:rsidP="005B3237">
            <w:r>
              <w:lastRenderedPageBreak/>
              <w:t xml:space="preserve">Střety zájmů </w:t>
            </w:r>
            <w:proofErr w:type="spellStart"/>
            <w:proofErr w:type="gramStart"/>
            <w:r>
              <w:t>autorstva</w:t>
            </w:r>
            <w:proofErr w:type="spellEnd"/>
            <w:r>
              <w:t xml:space="preserve"> - střety</w:t>
            </w:r>
            <w:proofErr w:type="gramEnd"/>
            <w:r>
              <w:t xml:space="preserve"> zájmů autorů nejsou v předloženém materiálu nijak řešeny, z veřejně dostupných zdrojů lze dohledat, že někteří z nich střety zájmů vykazují či v nedávné minulosti vykazovali. Dokonce se z tohoto důvodu také nemohli stát členy poradního orgánu ministra zdravotnictví – Komise pro výživu kojenců a malých dětí, jež právě důsledným mechanismem kontroly střetu zájmů disponuje. To se týká i garantky doporučení, či odborné společnosti, která doporučení schválila, a v neposlední řadě též jediné přizvané pacientské </w:t>
            </w:r>
            <w:proofErr w:type="gramStart"/>
            <w:r>
              <w:t xml:space="preserve">organizace - </w:t>
            </w:r>
            <w:proofErr w:type="spellStart"/>
            <w:r>
              <w:t>Nedoklubka</w:t>
            </w:r>
            <w:proofErr w:type="spellEnd"/>
            <w:proofErr w:type="gramEnd"/>
            <w:r>
              <w:t xml:space="preserve">, dlouhodobě sponzorovaného společností </w:t>
            </w:r>
            <w:proofErr w:type="spellStart"/>
            <w:r>
              <w:t>Danone</w:t>
            </w:r>
            <w:proofErr w:type="spellEnd"/>
            <w:r>
              <w:t>.</w:t>
            </w:r>
          </w:p>
        </w:tc>
        <w:tc>
          <w:tcPr>
            <w:tcW w:w="7655" w:type="dxa"/>
          </w:tcPr>
          <w:p w14:paraId="4666DA05" w14:textId="77777777" w:rsidR="00BB5570" w:rsidRDefault="00BB5570" w:rsidP="00BB5570">
            <w:pPr>
              <w:pStyle w:val="Normlnweb"/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  <w:t xml:space="preserve">Děkujeme za upozornění, původní formulace byla příliš zjednodušující. Formulaci jsme upřesnili a deklarace o konfliktech zájmů jednotlivých </w:t>
            </w:r>
            <w:proofErr w:type="spellStart"/>
            <w:r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  <w:t>panelistů</w:t>
            </w:r>
            <w:proofErr w:type="spellEnd"/>
            <w:r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  <w:t xml:space="preserve"> jsou uvedeny v příloze H. </w:t>
            </w:r>
          </w:p>
          <w:p w14:paraId="72C6C6A2" w14:textId="77777777" w:rsidR="00BB5570" w:rsidRPr="00843A91" w:rsidRDefault="00BB5570" w:rsidP="00BB5570">
            <w:pPr>
              <w:pStyle w:val="Normlnweb"/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</w:pPr>
            <w:r w:rsidRPr="00843A91"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  <w:t>Všichni členové panelu NIKEZ předložili vyplněná prohlášení o finančních a potenciálních střetech zájmů. Metodici NIKEZ (MK, IP a ZK) následně posoudili tato prohlášení s ohledem na význam a tematické zaměření jednotlivých doporučení.</w:t>
            </w:r>
          </w:p>
          <w:p w14:paraId="4EBF265E" w14:textId="77777777" w:rsidR="00BB5570" w:rsidRPr="00843A91" w:rsidRDefault="00BB5570" w:rsidP="00BB5570">
            <w:pPr>
              <w:pStyle w:val="Normlnweb"/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</w:pPr>
            <w:r w:rsidRPr="00843A91"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  <w:t>Přímý střet zájmů byl identifikován pouze u doporučení č. 8, které se zabývá problematikou dokrmování, a u souvisejícího indikátoru kvality vztahujícího se k této oblasti.</w:t>
            </w:r>
          </w:p>
          <w:p w14:paraId="162FC52F" w14:textId="77777777" w:rsidR="00BB5570" w:rsidRPr="00843A91" w:rsidRDefault="00BB5570" w:rsidP="00BB5570">
            <w:pPr>
              <w:pStyle w:val="Normlnweb"/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</w:pPr>
            <w:r w:rsidRPr="00843A91"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  <w:t>V přímém střetu zájmů s uvedeným doporučením jsou následující členové odborného panelu:</w:t>
            </w:r>
            <w:r w:rsidRPr="00843A91"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  <w:br/>
              <w:t>Dr. Burianová, Dr. Dokoupilová, prof. Janota, Dr. Malý, Dr. Wiedermannová a Dr. Zárubová.</w:t>
            </w:r>
          </w:p>
          <w:p w14:paraId="41AC582B" w14:textId="77777777" w:rsidR="00BB5570" w:rsidRPr="00843A91" w:rsidRDefault="00BB5570" w:rsidP="00BB5570">
            <w:pPr>
              <w:pStyle w:val="Normlnweb"/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</w:pPr>
            <w:r w:rsidRPr="00843A91"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  <w:t xml:space="preserve">Uvedení </w:t>
            </w:r>
            <w:proofErr w:type="spellStart"/>
            <w:r w:rsidRPr="00843A91"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  <w:t>panelisté</w:t>
            </w:r>
            <w:proofErr w:type="spellEnd"/>
            <w:r w:rsidRPr="00843A91"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  <w:t xml:space="preserve"> se nepodíleli na formulaci tohoto doporučení ani příslušných indikátorů kvality a neúčastnili se procesu </w:t>
            </w:r>
            <w:proofErr w:type="spellStart"/>
            <w:r w:rsidRPr="00843A91"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  <w:t>Adolopmentu</w:t>
            </w:r>
            <w:proofErr w:type="spellEnd"/>
            <w:r w:rsidRPr="00843A91"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  <w:t xml:space="preserve"> při jejich </w:t>
            </w:r>
            <w:proofErr w:type="spellStart"/>
            <w:r w:rsidRPr="00843A91"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  <w:t>kontextualizaci</w:t>
            </w:r>
            <w:proofErr w:type="spellEnd"/>
            <w:r w:rsidRPr="00843A91"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  <w:t>.</w:t>
            </w:r>
          </w:p>
          <w:p w14:paraId="0BBF3707" w14:textId="77777777" w:rsidR="00BB5570" w:rsidRPr="00843A91" w:rsidRDefault="00BB5570" w:rsidP="00BB5570">
            <w:pPr>
              <w:pStyle w:val="Normlnweb"/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</w:pPr>
            <w:r w:rsidRPr="00843A91">
              <w:rPr>
                <w:rFonts w:asciiTheme="minorHAnsi" w:eastAsiaTheme="minorHAnsi" w:hAnsiTheme="minorHAnsi" w:cstheme="minorBidi"/>
                <w:bCs/>
                <w:color w:val="000000" w:themeColor="text1" w:themeShade="BF"/>
                <w:sz w:val="20"/>
                <w:szCs w:val="22"/>
                <w:lang w:eastAsia="en-US"/>
              </w:rPr>
              <w:t xml:space="preserve">Doporučení i jeho odůvodnění zůstaly po schválení ostatními členy panelu beze změny od zdrojového doporučení. </w:t>
            </w:r>
          </w:p>
          <w:p w14:paraId="1470826C" w14:textId="0699693C" w:rsidR="005B3237" w:rsidRPr="0006274C" w:rsidRDefault="005B3237" w:rsidP="005B3237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</w:p>
        </w:tc>
      </w:tr>
      <w:tr w:rsidR="005B3237" w14:paraId="1E776DA4" w14:textId="77777777" w:rsidTr="0006274C">
        <w:tc>
          <w:tcPr>
            <w:tcW w:w="6941" w:type="dxa"/>
          </w:tcPr>
          <w:p w14:paraId="0519D550" w14:textId="783DB9E9" w:rsidR="005B3237" w:rsidRDefault="005B3237" w:rsidP="005B3237">
            <w:r>
              <w:t xml:space="preserve">6. Politické proklamace, např. o tom, že ČNeoS garantuje program podpory kojení (ať již pod tím chápeme cokoliv), které nemá oporu v rozhodnutích vlády, ani jiných orgánů státní správy; role </w:t>
            </w:r>
            <w:proofErr w:type="spellStart"/>
            <w:r>
              <w:t>ČNeoS</w:t>
            </w:r>
            <w:proofErr w:type="spellEnd"/>
            <w:r>
              <w:t xml:space="preserve"> v programu </w:t>
            </w:r>
            <w:proofErr w:type="spellStart"/>
            <w:r>
              <w:t>BfHI</w:t>
            </w:r>
            <w:proofErr w:type="spellEnd"/>
            <w:r>
              <w:t xml:space="preserve"> přitom byla opakovaně diskutována (a to i s WHO), nicméně jejich střety zájmů jim takovou roli plnit neumožňují; či jiné tvrzení, že vzdělávací program a jeho realizace je v ČR plně v kompetenci lékařů.</w:t>
            </w:r>
            <w:r>
              <w:br/>
            </w:r>
          </w:p>
        </w:tc>
        <w:tc>
          <w:tcPr>
            <w:tcW w:w="7655" w:type="dxa"/>
          </w:tcPr>
          <w:p w14:paraId="4B192398" w14:textId="74F13503" w:rsidR="005B3237" w:rsidRPr="00BC5B12" w:rsidRDefault="0026778F" w:rsidP="0006274C">
            <w:pPr>
              <w:pStyle w:val="Normlnweb"/>
              <w:spacing w:before="0" w:beforeAutospacing="0" w:after="0" w:afterAutospacing="0"/>
            </w:pPr>
            <w:r w:rsidRPr="000B58A0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Panel děkuje za připomínku.</w:t>
            </w:r>
            <w:r w:rsidRPr="000B58A0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br/>
              <w:t>Problematická tvrzeni byli z textu odstraněná</w:t>
            </w:r>
          </w:p>
        </w:tc>
      </w:tr>
      <w:tr w:rsidR="005B3237" w14:paraId="7B53CAAD" w14:textId="77777777" w:rsidTr="0006274C">
        <w:tc>
          <w:tcPr>
            <w:tcW w:w="6941" w:type="dxa"/>
          </w:tcPr>
          <w:p w14:paraId="484DBE63" w14:textId="22427908" w:rsidR="005B3237" w:rsidDel="008C62B7" w:rsidRDefault="005B3237" w:rsidP="005B3237">
            <w:r>
              <w:t xml:space="preserve">7. Nejednotná, nepřesná či nevhodná </w:t>
            </w:r>
            <w:proofErr w:type="gramStart"/>
            <w:r>
              <w:t>terminologie - zaměňování</w:t>
            </w:r>
            <w:proofErr w:type="gramEnd"/>
            <w:r>
              <w:t xml:space="preserve"> kontaktu kůže na kůži za </w:t>
            </w:r>
            <w:proofErr w:type="spellStart"/>
            <w:r>
              <w:t>bonding</w:t>
            </w:r>
            <w:proofErr w:type="spellEnd"/>
            <w:r>
              <w:t xml:space="preserve"> (a to i s otcem), různé výrazy pro komerční dětskou výživu, namísto </w:t>
            </w:r>
            <w:proofErr w:type="spellStart"/>
            <w:r>
              <w:t>dokrmu</w:t>
            </w:r>
            <w:proofErr w:type="spellEnd"/>
            <w:r>
              <w:t xml:space="preserve"> na základně indikace “ze </w:t>
            </w:r>
            <w:r>
              <w:lastRenderedPageBreak/>
              <w:t>zdravotních důvodů” je kladen důraz na indikující osobu (z lékařské indikace”) apod.</w:t>
            </w:r>
            <w:r>
              <w:br/>
            </w:r>
            <w:r>
              <w:br/>
            </w:r>
          </w:p>
        </w:tc>
        <w:tc>
          <w:tcPr>
            <w:tcW w:w="7655" w:type="dxa"/>
          </w:tcPr>
          <w:p w14:paraId="698DADDC" w14:textId="35939FAD" w:rsidR="005B3237" w:rsidRPr="0006274C" w:rsidRDefault="0026778F" w:rsidP="005B3237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</w:pP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lastRenderedPageBreak/>
              <w:t>Panel děkuje za připomínku.</w:t>
            </w: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br/>
            </w:r>
            <w:r w:rsidR="005B3237"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 xml:space="preserve">Terminologie byla napřič dokumentem sjednocena a </w:t>
            </w:r>
            <w:r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>problematická</w:t>
            </w:r>
            <w:r w:rsidR="005B3237" w:rsidRPr="0006274C">
              <w:rPr>
                <w:rFonts w:asciiTheme="minorHAnsi" w:eastAsiaTheme="minorHAnsi" w:hAnsiTheme="minorHAnsi" w:cstheme="minorBidi"/>
                <w:color w:val="000000" w:themeColor="text1" w:themeShade="BF"/>
                <w:sz w:val="20"/>
                <w:szCs w:val="22"/>
                <w:lang w:eastAsia="en-US"/>
              </w:rPr>
              <w:t xml:space="preserve"> tvrzeni odstraněná </w:t>
            </w:r>
          </w:p>
        </w:tc>
      </w:tr>
    </w:tbl>
    <w:p w14:paraId="1F381DF9" w14:textId="77777777" w:rsidR="00913832" w:rsidRDefault="00913832" w:rsidP="004513EB"/>
    <w:p w14:paraId="3CDFCC98" w14:textId="77777777" w:rsidR="00C11982" w:rsidRDefault="00C11982" w:rsidP="00C11982"/>
    <w:p w14:paraId="7770DA31" w14:textId="77777777" w:rsidR="00C11982" w:rsidRDefault="00C11982" w:rsidP="00C11982"/>
    <w:p w14:paraId="3FE47AF2" w14:textId="1F220DA8" w:rsidR="00C11982" w:rsidRPr="00C11982" w:rsidRDefault="00C11982" w:rsidP="00C11982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C11982">
        <w:rPr>
          <w:i/>
        </w:rPr>
        <w:t>Guideline: Protecting, Promoting and Supporting Breastfeeding in Facilities Providing Maternity and Newborn Services</w:t>
      </w:r>
      <w:r w:rsidRPr="00C11982">
        <w:t xml:space="preserve">. (2017). World Health Organization. </w:t>
      </w:r>
      <w:hyperlink r:id="rId17" w:history="1">
        <w:r w:rsidRPr="00C11982">
          <w:rPr>
            <w:rStyle w:val="Hypertextovodkaz"/>
          </w:rPr>
          <w:t>https://www.ncbi.nlm.nih.gov/books/NBK487812/</w:t>
        </w:r>
      </w:hyperlink>
      <w:r w:rsidRPr="00C11982">
        <w:t xml:space="preserve"> </w:t>
      </w:r>
    </w:p>
    <w:p w14:paraId="61EB0AB7" w14:textId="5490FC17" w:rsidR="00C11982" w:rsidRPr="00C11982" w:rsidRDefault="00C11982" w:rsidP="00C11982">
      <w:pPr>
        <w:pStyle w:val="EndNoteBibliography"/>
        <w:spacing w:after="0"/>
        <w:ind w:left="720" w:hanging="720"/>
      </w:pPr>
      <w:r w:rsidRPr="00C11982">
        <w:rPr>
          <w:i/>
        </w:rPr>
        <w:t>Implementation guidance: protecting, promoting and supporting breastfeeding in facilities providing maternity and newborn services – the revised Baby-friendly Hospital Initiative</w:t>
      </w:r>
      <w:r w:rsidRPr="00C11982">
        <w:t xml:space="preserve">. (2018). World Health Organization. </w:t>
      </w:r>
      <w:hyperlink r:id="rId18" w:history="1">
        <w:r w:rsidRPr="00C11982">
          <w:rPr>
            <w:rStyle w:val="Hypertextovodkaz"/>
          </w:rPr>
          <w:t>https://www.kojeni.cz/wp-content/uploads/2020/03/bfhi-implementation-2018.pdf</w:t>
        </w:r>
      </w:hyperlink>
      <w:r w:rsidRPr="00C11982">
        <w:t xml:space="preserve"> </w:t>
      </w:r>
    </w:p>
    <w:p w14:paraId="0BA32650" w14:textId="30B3EAD5" w:rsidR="00C11982" w:rsidRPr="00C11982" w:rsidRDefault="00C11982" w:rsidP="00C11982">
      <w:pPr>
        <w:pStyle w:val="EndNoteBibliography"/>
        <w:spacing w:after="0"/>
        <w:ind w:left="720" w:hanging="720"/>
      </w:pPr>
      <w:r w:rsidRPr="00C11982">
        <w:t xml:space="preserve">Ministerstvo zdravotnictví České republiky. (2024). </w:t>
      </w:r>
      <w:r w:rsidRPr="00C11982">
        <w:rPr>
          <w:i/>
        </w:rPr>
        <w:t>Strategie Baby-friendly Hospital Initiative 2018 v České republice</w:t>
      </w:r>
      <w:r w:rsidRPr="00C11982">
        <w:t xml:space="preserve">. Vláda České republiky. </w:t>
      </w:r>
      <w:hyperlink r:id="rId19" w:history="1">
        <w:r w:rsidRPr="00C11982">
          <w:rPr>
            <w:rStyle w:val="Hypertextovodkaz"/>
          </w:rPr>
          <w:t>https://ppo.mzcr.cz/upload/files/strategie-baby-friendly-hospital-initiative-2018-v-ceske-republice-strategie-baby-friendly-hospital-initiative-2018-v-ceske-republice-66f3c8ce236d3.pdf</w:t>
        </w:r>
      </w:hyperlink>
      <w:r w:rsidRPr="00C11982">
        <w:t xml:space="preserve"> </w:t>
      </w:r>
    </w:p>
    <w:p w14:paraId="0CE1CB80" w14:textId="77777777" w:rsidR="00C11982" w:rsidRPr="00C11982" w:rsidRDefault="00C11982" w:rsidP="00C11982">
      <w:pPr>
        <w:pStyle w:val="EndNoteBibliography"/>
        <w:ind w:left="720" w:hanging="720"/>
        <w:rPr>
          <w:i/>
        </w:rPr>
      </w:pPr>
      <w:r w:rsidRPr="00C11982">
        <w:rPr>
          <w:i/>
        </w:rPr>
        <w:t>Protecting, promoting and supporting breastfeeding in facilities providing maternity and newborn services - The</w:t>
      </w:r>
    </w:p>
    <w:p w14:paraId="3B111F20" w14:textId="77777777" w:rsidR="00C11982" w:rsidRPr="00C11982" w:rsidRDefault="00C11982" w:rsidP="00C11982">
      <w:pPr>
        <w:pStyle w:val="EndNoteBibliography"/>
        <w:ind w:left="720" w:hanging="720"/>
      </w:pPr>
      <w:r w:rsidRPr="00C11982">
        <w:rPr>
          <w:i/>
        </w:rPr>
        <w:t>Baby-friendly Hospital Initiative: monitoring manual</w:t>
      </w:r>
      <w:r w:rsidRPr="00C11982">
        <w:t xml:space="preserve">. (2025). World Health Organization and the United Nations Children’s Fund (UNICEF). </w:t>
      </w:r>
    </w:p>
    <w:p w14:paraId="567D97A8" w14:textId="74B0BB5F" w:rsidR="00C11982" w:rsidRDefault="00C11982" w:rsidP="00C11982">
      <w:r>
        <w:fldChar w:fldCharType="end"/>
      </w:r>
    </w:p>
    <w:sectPr w:rsidR="00C11982" w:rsidSect="0006274C">
      <w:pgSz w:w="16838" w:h="11906" w:orient="landscape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A0EB" w14:textId="77777777" w:rsidR="00D760E1" w:rsidRDefault="00D760E1" w:rsidP="004E4F3D">
      <w:pPr>
        <w:spacing w:after="0"/>
      </w:pPr>
      <w:r>
        <w:separator/>
      </w:r>
    </w:p>
  </w:endnote>
  <w:endnote w:type="continuationSeparator" w:id="0">
    <w:p w14:paraId="1CA1E90B" w14:textId="77777777" w:rsidR="00D760E1" w:rsidRDefault="00D760E1" w:rsidP="004E4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12"/>
      <w:gridCol w:w="2690"/>
      <w:gridCol w:w="1270"/>
    </w:tblGrid>
    <w:tr w:rsidR="00CF7BBD" w14:paraId="4D36E004" w14:textId="77777777" w:rsidTr="0014799C">
      <w:tc>
        <w:tcPr>
          <w:tcW w:w="5112" w:type="dxa"/>
        </w:tcPr>
        <w:p w14:paraId="76F0A1DC" w14:textId="46D6049E" w:rsidR="00CF7BBD" w:rsidRPr="006403CB" w:rsidRDefault="00CF7BBD" w:rsidP="00CF7BBD">
          <w:pPr>
            <w:pStyle w:val="Zhlav-zpat"/>
            <w:rPr>
              <w:bCs/>
            </w:rPr>
          </w:pPr>
        </w:p>
      </w:tc>
      <w:tc>
        <w:tcPr>
          <w:tcW w:w="2690" w:type="dxa"/>
        </w:tcPr>
        <w:p w14:paraId="087E63E5" w14:textId="77777777" w:rsidR="00CF7BBD" w:rsidRDefault="00CF7BBD" w:rsidP="00ED0FBE">
          <w:pPr>
            <w:pStyle w:val="Zhlav-zpat"/>
          </w:pPr>
        </w:p>
      </w:tc>
      <w:tc>
        <w:tcPr>
          <w:tcW w:w="1270" w:type="dxa"/>
        </w:tcPr>
        <w:p w14:paraId="73CAFC1D" w14:textId="77777777" w:rsidR="00CF7BBD" w:rsidRDefault="00962CEB" w:rsidP="00CF7BBD">
          <w:pPr>
            <w:pStyle w:val="Zhlav-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4D3CE07B" w14:textId="77777777" w:rsidR="001C6EE3" w:rsidRPr="00492ADA" w:rsidRDefault="001C6EE3" w:rsidP="000E786E">
    <w:pPr>
      <w:pStyle w:val="Zpat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C620" w14:textId="77777777" w:rsidR="00D760E1" w:rsidRDefault="00D760E1" w:rsidP="004E4F3D">
      <w:pPr>
        <w:spacing w:after="0"/>
      </w:pPr>
      <w:r>
        <w:separator/>
      </w:r>
    </w:p>
  </w:footnote>
  <w:footnote w:type="continuationSeparator" w:id="0">
    <w:p w14:paraId="64A523D1" w14:textId="77777777" w:rsidR="00D760E1" w:rsidRDefault="00D760E1" w:rsidP="004E4F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6"/>
      <w:gridCol w:w="2835"/>
    </w:tblGrid>
    <w:tr w:rsidR="00440FCA" w14:paraId="7261E8A3" w14:textId="77777777" w:rsidTr="00530FB4">
      <w:tc>
        <w:tcPr>
          <w:tcW w:w="6236" w:type="dxa"/>
        </w:tcPr>
        <w:p w14:paraId="6C509475" w14:textId="73120BB1" w:rsidR="00440FCA" w:rsidRDefault="00E32E75" w:rsidP="00440FCA">
          <w:pPr>
            <w:pStyle w:val="Zhlav-zpat"/>
            <w:spacing w:before="0" w:after="0"/>
          </w:pPr>
          <w:r>
            <w:t xml:space="preserve">Reakce autorského kolektivu na oponentský posudek: </w:t>
          </w:r>
          <w:r w:rsidR="00A73727">
            <w:t>Podpora kojení v zařízeních poskytujících porodnickou a novorozeneckou péči</w:t>
          </w:r>
          <w:r w:rsidR="00A73727" w:rsidRPr="003B75F1" w:rsidDel="00A73727">
            <w:rPr>
              <w:i/>
              <w:iCs/>
            </w:rPr>
            <w:t xml:space="preserve"> </w:t>
          </w:r>
        </w:p>
      </w:tc>
      <w:tc>
        <w:tcPr>
          <w:tcW w:w="2835" w:type="dxa"/>
          <w:vAlign w:val="center"/>
        </w:tcPr>
        <w:p w14:paraId="6A5C4F7A" w14:textId="77777777" w:rsidR="00440FCA" w:rsidRDefault="00530FB4" w:rsidP="00440FCA">
          <w:pPr>
            <w:pStyle w:val="Zhlav-zpat"/>
            <w:spacing w:before="0" w:after="0"/>
            <w:jc w:val="right"/>
          </w:pPr>
          <w:r w:rsidRPr="00B26659">
            <w:rPr>
              <w:noProof/>
            </w:rPr>
            <w:drawing>
              <wp:inline distT="0" distB="0" distL="0" distR="0" wp14:anchorId="0AD9FD67" wp14:editId="67DB0EF7">
                <wp:extent cx="1710648" cy="288000"/>
                <wp:effectExtent l="0" t="0" r="4445" b="0"/>
                <wp:docPr id="723158818" name="Grafický objekt 7231588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648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26B5F1" w14:textId="77777777" w:rsidR="00554A70" w:rsidRPr="00542F20" w:rsidRDefault="00554A70" w:rsidP="00874117">
    <w:pPr>
      <w:pStyle w:val="Zpat"/>
      <w:tabs>
        <w:tab w:val="clear" w:pos="4536"/>
        <w:tab w:val="clear" w:pos="9072"/>
        <w:tab w:val="left" w:pos="3630"/>
      </w:tabs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98"/>
      <w:gridCol w:w="3929"/>
      <w:gridCol w:w="1604"/>
      <w:gridCol w:w="1140"/>
    </w:tblGrid>
    <w:tr w:rsidR="00A2662D" w:rsidRPr="001B1A69" w14:paraId="0347F943" w14:textId="77777777" w:rsidTr="00464278">
      <w:tc>
        <w:tcPr>
          <w:tcW w:w="2398" w:type="dxa"/>
          <w:vAlign w:val="center"/>
        </w:tcPr>
        <w:p w14:paraId="09A20B9A" w14:textId="77777777" w:rsidR="00A2662D" w:rsidRPr="001B1A69" w:rsidRDefault="00A2662D" w:rsidP="00A2662D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noProof/>
            </w:rPr>
          </w:pPr>
          <w:r w:rsidRPr="001B1A69">
            <w:rPr>
              <w:noProof/>
            </w:rPr>
            <w:drawing>
              <wp:inline distT="0" distB="0" distL="0" distR="0" wp14:anchorId="7B32324A" wp14:editId="4FC02E81">
                <wp:extent cx="1162509" cy="288000"/>
                <wp:effectExtent l="0" t="0" r="0" b="0"/>
                <wp:docPr id="405757049" name="Grafický objekt 4057570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509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  <w:vAlign w:val="center"/>
        </w:tcPr>
        <w:p w14:paraId="28A3BF9B" w14:textId="77777777" w:rsidR="00A2662D" w:rsidRPr="001B1A69" w:rsidRDefault="00A2662D" w:rsidP="00A2662D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noProof/>
            </w:rPr>
          </w:pPr>
          <w:r w:rsidRPr="001B1A69">
            <w:rPr>
              <w:noProof/>
            </w:rPr>
            <w:drawing>
              <wp:inline distT="0" distB="0" distL="0" distR="0" wp14:anchorId="1AC4F1BE" wp14:editId="107AC890">
                <wp:extent cx="1710648" cy="288000"/>
                <wp:effectExtent l="0" t="0" r="4445" b="0"/>
                <wp:docPr id="878849207" name="Grafický objekt 878849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648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4" w:type="dxa"/>
          <w:vAlign w:val="center"/>
        </w:tcPr>
        <w:p w14:paraId="2CFA5AAD" w14:textId="77777777" w:rsidR="00A2662D" w:rsidRPr="001B1A69" w:rsidRDefault="00A2662D" w:rsidP="00A2662D">
          <w:pPr>
            <w:tabs>
              <w:tab w:val="center" w:pos="4536"/>
              <w:tab w:val="right" w:pos="9072"/>
            </w:tabs>
            <w:spacing w:before="0" w:after="0"/>
            <w:jc w:val="right"/>
          </w:pPr>
          <w:r w:rsidRPr="001B1A69">
            <w:rPr>
              <w:noProof/>
            </w:rPr>
            <w:drawing>
              <wp:inline distT="0" distB="0" distL="0" distR="0" wp14:anchorId="516CFB2D" wp14:editId="5CECD665">
                <wp:extent cx="658908" cy="288000"/>
                <wp:effectExtent l="0" t="0" r="8255" b="0"/>
                <wp:docPr id="1461582758" name="Grafický objekt 14615827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908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0" w:type="dxa"/>
          <w:vAlign w:val="center"/>
        </w:tcPr>
        <w:p w14:paraId="1B756F9F" w14:textId="77777777" w:rsidR="00A2662D" w:rsidRPr="001B1A69" w:rsidRDefault="00A2662D" w:rsidP="00A2662D">
          <w:pPr>
            <w:tabs>
              <w:tab w:val="center" w:pos="4536"/>
              <w:tab w:val="right" w:pos="9072"/>
            </w:tabs>
            <w:spacing w:before="0" w:after="0"/>
            <w:jc w:val="right"/>
          </w:pPr>
          <w:r w:rsidRPr="001B1A69">
            <w:rPr>
              <w:noProof/>
            </w:rPr>
            <w:drawing>
              <wp:inline distT="0" distB="0" distL="0" distR="0" wp14:anchorId="04E9D3DC" wp14:editId="1971595E">
                <wp:extent cx="434880" cy="288000"/>
                <wp:effectExtent l="0" t="0" r="3810" b="0"/>
                <wp:docPr id="141639732" name="Grafický objekt 1416397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88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EC340FB" w14:textId="77777777" w:rsidR="00A2662D" w:rsidRDefault="00A266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55pt;height:8.55pt" o:bullet="t">
        <v:imagedata r:id="rId1" o:title=""/>
      </v:shape>
    </w:pict>
  </w:numPicBullet>
  <w:abstractNum w:abstractNumId="0" w15:restartNumberingAfterBreak="0">
    <w:nsid w:val="0681314A"/>
    <w:multiLevelType w:val="hybridMultilevel"/>
    <w:tmpl w:val="9148F6F8"/>
    <w:lvl w:ilvl="0" w:tplc="B998A8B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2539D"/>
    <w:multiLevelType w:val="multilevel"/>
    <w:tmpl w:val="F992F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24EF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2BF23AF"/>
    <w:multiLevelType w:val="hybridMultilevel"/>
    <w:tmpl w:val="2CD4275C"/>
    <w:lvl w:ilvl="0" w:tplc="E110A44A">
      <w:start w:val="1"/>
      <w:numFmt w:val="decimal"/>
      <w:lvlText w:val="%1. 1.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3A3567D"/>
    <w:multiLevelType w:val="hybridMultilevel"/>
    <w:tmpl w:val="27D80DCA"/>
    <w:lvl w:ilvl="0" w:tplc="2434573E">
      <w:start w:val="1"/>
      <w:numFmt w:val="decimal"/>
      <w:lvlText w:val="1.1.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496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004CC0"/>
    <w:multiLevelType w:val="multilevel"/>
    <w:tmpl w:val="0405001D"/>
    <w:styleLink w:val="Aktuln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8BA6603"/>
    <w:multiLevelType w:val="hybridMultilevel"/>
    <w:tmpl w:val="7666C69C"/>
    <w:lvl w:ilvl="0" w:tplc="C070FB0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617CA"/>
    <w:multiLevelType w:val="multilevel"/>
    <w:tmpl w:val="936AF594"/>
    <w:styleLink w:val="Aktulnseznam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C2F7A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5B5C3F"/>
    <w:multiLevelType w:val="hybridMultilevel"/>
    <w:tmpl w:val="4ABED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72227"/>
    <w:multiLevelType w:val="hybridMultilevel"/>
    <w:tmpl w:val="0A1C536A"/>
    <w:lvl w:ilvl="0" w:tplc="CC9E3ED6">
      <w:start w:val="1"/>
      <w:numFmt w:val="decimal"/>
      <w:lvlText w:val="1.%1.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E21A1"/>
    <w:multiLevelType w:val="hybridMultilevel"/>
    <w:tmpl w:val="9336172E"/>
    <w:lvl w:ilvl="0" w:tplc="3A82F7D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E47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334A0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995D31"/>
    <w:multiLevelType w:val="hybridMultilevel"/>
    <w:tmpl w:val="CE1C9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D14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2753C8"/>
    <w:multiLevelType w:val="hybridMultilevel"/>
    <w:tmpl w:val="BEF8AC4C"/>
    <w:lvl w:ilvl="0" w:tplc="79008CC8">
      <w:start w:val="1"/>
      <w:numFmt w:val="decimal"/>
      <w:pStyle w:val="Seznamslov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022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8E7758"/>
    <w:multiLevelType w:val="hybridMultilevel"/>
    <w:tmpl w:val="81BC7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66B6E"/>
    <w:multiLevelType w:val="hybridMultilevel"/>
    <w:tmpl w:val="4078B56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1C43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913B79"/>
    <w:multiLevelType w:val="hybridMultilevel"/>
    <w:tmpl w:val="2814E680"/>
    <w:lvl w:ilvl="0" w:tplc="968C00E8">
      <w:start w:val="1"/>
      <w:numFmt w:val="bullet"/>
      <w:pStyle w:val="Odstavecseseznamem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043112"/>
    <w:multiLevelType w:val="hybridMultilevel"/>
    <w:tmpl w:val="675CB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359214">
    <w:abstractNumId w:val="11"/>
  </w:num>
  <w:num w:numId="2" w16cid:durableId="1500001243">
    <w:abstractNumId w:val="14"/>
  </w:num>
  <w:num w:numId="3" w16cid:durableId="208079220">
    <w:abstractNumId w:val="9"/>
  </w:num>
  <w:num w:numId="4" w16cid:durableId="1022973972">
    <w:abstractNumId w:val="22"/>
  </w:num>
  <w:num w:numId="5" w16cid:durableId="1766026262">
    <w:abstractNumId w:val="0"/>
  </w:num>
  <w:num w:numId="6" w16cid:durableId="2095004856">
    <w:abstractNumId w:val="3"/>
  </w:num>
  <w:num w:numId="7" w16cid:durableId="1133795551">
    <w:abstractNumId w:val="21"/>
  </w:num>
  <w:num w:numId="8" w16cid:durableId="1915700239">
    <w:abstractNumId w:val="6"/>
  </w:num>
  <w:num w:numId="9" w16cid:durableId="629898533">
    <w:abstractNumId w:val="12"/>
  </w:num>
  <w:num w:numId="10" w16cid:durableId="312374796">
    <w:abstractNumId w:val="20"/>
  </w:num>
  <w:num w:numId="11" w16cid:durableId="1159150079">
    <w:abstractNumId w:val="4"/>
  </w:num>
  <w:num w:numId="12" w16cid:durableId="1881817004">
    <w:abstractNumId w:val="17"/>
  </w:num>
  <w:num w:numId="13" w16cid:durableId="1943493756">
    <w:abstractNumId w:val="15"/>
  </w:num>
  <w:num w:numId="14" w16cid:durableId="890964075">
    <w:abstractNumId w:val="5"/>
  </w:num>
  <w:num w:numId="15" w16cid:durableId="2034458301">
    <w:abstractNumId w:val="13"/>
  </w:num>
  <w:num w:numId="16" w16cid:durableId="2027519412">
    <w:abstractNumId w:val="7"/>
  </w:num>
  <w:num w:numId="17" w16cid:durableId="114835027">
    <w:abstractNumId w:val="10"/>
  </w:num>
  <w:num w:numId="18" w16cid:durableId="869076549">
    <w:abstractNumId w:val="2"/>
  </w:num>
  <w:num w:numId="19" w16cid:durableId="148794980">
    <w:abstractNumId w:val="18"/>
  </w:num>
  <w:num w:numId="20" w16cid:durableId="1357341818">
    <w:abstractNumId w:val="16"/>
  </w:num>
  <w:num w:numId="21" w16cid:durableId="2039549698">
    <w:abstractNumId w:val="19"/>
  </w:num>
  <w:num w:numId="22" w16cid:durableId="1575510885">
    <w:abstractNumId w:val="8"/>
  </w:num>
  <w:num w:numId="23" w16cid:durableId="103685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zM7E0MjI0NDUzMDNS0lEKTi0uzszPAykwqgUA122DMS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mbr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watfppdwp9rvpe0fpavdrty00afdrde2se0&quot;&gt;Kojeni&lt;record-ids&gt;&lt;item&gt;1&lt;/item&gt;&lt;item&gt;2&lt;/item&gt;&lt;item&gt;3&lt;/item&gt;&lt;item&gt;4&lt;/item&gt;&lt;/record-ids&gt;&lt;/item&gt;&lt;/Libraries&gt;"/>
  </w:docVars>
  <w:rsids>
    <w:rsidRoot w:val="000B2BAB"/>
    <w:rsid w:val="00014680"/>
    <w:rsid w:val="000154A8"/>
    <w:rsid w:val="00031AEF"/>
    <w:rsid w:val="000355B6"/>
    <w:rsid w:val="000423A1"/>
    <w:rsid w:val="0006116B"/>
    <w:rsid w:val="00062732"/>
    <w:rsid w:val="0006274C"/>
    <w:rsid w:val="00062A98"/>
    <w:rsid w:val="00065A14"/>
    <w:rsid w:val="00080ECA"/>
    <w:rsid w:val="0008696C"/>
    <w:rsid w:val="000A1889"/>
    <w:rsid w:val="000B2BAB"/>
    <w:rsid w:val="000B58A0"/>
    <w:rsid w:val="000C13E1"/>
    <w:rsid w:val="000C2413"/>
    <w:rsid w:val="000D32EB"/>
    <w:rsid w:val="000E4599"/>
    <w:rsid w:val="000E786E"/>
    <w:rsid w:val="000F07B9"/>
    <w:rsid w:val="001251C2"/>
    <w:rsid w:val="001375D2"/>
    <w:rsid w:val="0014388F"/>
    <w:rsid w:val="0014799C"/>
    <w:rsid w:val="00150F55"/>
    <w:rsid w:val="00152F46"/>
    <w:rsid w:val="00157414"/>
    <w:rsid w:val="00160C15"/>
    <w:rsid w:val="00162D67"/>
    <w:rsid w:val="0019223A"/>
    <w:rsid w:val="001A74C6"/>
    <w:rsid w:val="001A7B4D"/>
    <w:rsid w:val="001C412A"/>
    <w:rsid w:val="001C4428"/>
    <w:rsid w:val="001C6EE3"/>
    <w:rsid w:val="001E2A51"/>
    <w:rsid w:val="001E4649"/>
    <w:rsid w:val="001E5773"/>
    <w:rsid w:val="001F5EE2"/>
    <w:rsid w:val="00200E6E"/>
    <w:rsid w:val="00202384"/>
    <w:rsid w:val="00202E2A"/>
    <w:rsid w:val="002030E0"/>
    <w:rsid w:val="00217B32"/>
    <w:rsid w:val="00225193"/>
    <w:rsid w:val="00226FA1"/>
    <w:rsid w:val="002322EA"/>
    <w:rsid w:val="002357AF"/>
    <w:rsid w:val="002358B1"/>
    <w:rsid w:val="002440C2"/>
    <w:rsid w:val="00246E30"/>
    <w:rsid w:val="0026778F"/>
    <w:rsid w:val="002731BC"/>
    <w:rsid w:val="00296107"/>
    <w:rsid w:val="002A2CA8"/>
    <w:rsid w:val="002A47DC"/>
    <w:rsid w:val="002A722D"/>
    <w:rsid w:val="002C1726"/>
    <w:rsid w:val="002D5DC6"/>
    <w:rsid w:val="002E08E1"/>
    <w:rsid w:val="00303FA7"/>
    <w:rsid w:val="0030504B"/>
    <w:rsid w:val="00312F5B"/>
    <w:rsid w:val="0031477E"/>
    <w:rsid w:val="00314D17"/>
    <w:rsid w:val="00350BF6"/>
    <w:rsid w:val="003625AC"/>
    <w:rsid w:val="0036360C"/>
    <w:rsid w:val="00363676"/>
    <w:rsid w:val="003714A2"/>
    <w:rsid w:val="00383E5C"/>
    <w:rsid w:val="00387A6D"/>
    <w:rsid w:val="003974B5"/>
    <w:rsid w:val="003A0DAC"/>
    <w:rsid w:val="003A5364"/>
    <w:rsid w:val="003B59DD"/>
    <w:rsid w:val="003B75F1"/>
    <w:rsid w:val="003C0DA2"/>
    <w:rsid w:val="003C4C88"/>
    <w:rsid w:val="003F0462"/>
    <w:rsid w:val="003F3ACD"/>
    <w:rsid w:val="003F5DC1"/>
    <w:rsid w:val="00407D39"/>
    <w:rsid w:val="004108E2"/>
    <w:rsid w:val="00414AB6"/>
    <w:rsid w:val="004331ED"/>
    <w:rsid w:val="00434587"/>
    <w:rsid w:val="00440FCA"/>
    <w:rsid w:val="00447F76"/>
    <w:rsid w:val="004513EB"/>
    <w:rsid w:val="004555EF"/>
    <w:rsid w:val="00484E7B"/>
    <w:rsid w:val="00485323"/>
    <w:rsid w:val="00492ADA"/>
    <w:rsid w:val="004A052F"/>
    <w:rsid w:val="004C0E75"/>
    <w:rsid w:val="004C3093"/>
    <w:rsid w:val="004D11E8"/>
    <w:rsid w:val="004E4F3D"/>
    <w:rsid w:val="004E64C7"/>
    <w:rsid w:val="0050470B"/>
    <w:rsid w:val="00530FB4"/>
    <w:rsid w:val="00542F20"/>
    <w:rsid w:val="00554A70"/>
    <w:rsid w:val="00565D8B"/>
    <w:rsid w:val="00574793"/>
    <w:rsid w:val="00587AE7"/>
    <w:rsid w:val="005A244B"/>
    <w:rsid w:val="005B3237"/>
    <w:rsid w:val="005C4C68"/>
    <w:rsid w:val="005C7D4F"/>
    <w:rsid w:val="005E1EE2"/>
    <w:rsid w:val="005F02F6"/>
    <w:rsid w:val="005F7A97"/>
    <w:rsid w:val="00602043"/>
    <w:rsid w:val="00604A46"/>
    <w:rsid w:val="00606C12"/>
    <w:rsid w:val="00616196"/>
    <w:rsid w:val="0062661D"/>
    <w:rsid w:val="00632760"/>
    <w:rsid w:val="006403CB"/>
    <w:rsid w:val="00645B4D"/>
    <w:rsid w:val="006468AC"/>
    <w:rsid w:val="0066116E"/>
    <w:rsid w:val="00686C53"/>
    <w:rsid w:val="006A0718"/>
    <w:rsid w:val="006A4E81"/>
    <w:rsid w:val="006B4A67"/>
    <w:rsid w:val="006F12E9"/>
    <w:rsid w:val="006F37FE"/>
    <w:rsid w:val="00700E71"/>
    <w:rsid w:val="00723168"/>
    <w:rsid w:val="0073476B"/>
    <w:rsid w:val="00765FA3"/>
    <w:rsid w:val="007727C1"/>
    <w:rsid w:val="00792F6E"/>
    <w:rsid w:val="00794FE4"/>
    <w:rsid w:val="007A0386"/>
    <w:rsid w:val="007B181E"/>
    <w:rsid w:val="007C71E8"/>
    <w:rsid w:val="007D256F"/>
    <w:rsid w:val="007D31D9"/>
    <w:rsid w:val="007E5BDB"/>
    <w:rsid w:val="007E64B5"/>
    <w:rsid w:val="00805A16"/>
    <w:rsid w:val="00805DC7"/>
    <w:rsid w:val="008174B3"/>
    <w:rsid w:val="00833C6E"/>
    <w:rsid w:val="00834419"/>
    <w:rsid w:val="008506A0"/>
    <w:rsid w:val="00865A2A"/>
    <w:rsid w:val="00866834"/>
    <w:rsid w:val="0087174E"/>
    <w:rsid w:val="00874117"/>
    <w:rsid w:val="00886605"/>
    <w:rsid w:val="008A4620"/>
    <w:rsid w:val="008C23E5"/>
    <w:rsid w:val="008C62B7"/>
    <w:rsid w:val="008C699B"/>
    <w:rsid w:val="00903FE3"/>
    <w:rsid w:val="00906E27"/>
    <w:rsid w:val="00913832"/>
    <w:rsid w:val="00947DED"/>
    <w:rsid w:val="00961654"/>
    <w:rsid w:val="00962CEB"/>
    <w:rsid w:val="009650D5"/>
    <w:rsid w:val="009672F3"/>
    <w:rsid w:val="00987833"/>
    <w:rsid w:val="009909C6"/>
    <w:rsid w:val="009A1B9F"/>
    <w:rsid w:val="009B5BA3"/>
    <w:rsid w:val="009C15B1"/>
    <w:rsid w:val="009C57D2"/>
    <w:rsid w:val="009F7F76"/>
    <w:rsid w:val="00A0481D"/>
    <w:rsid w:val="00A2662D"/>
    <w:rsid w:val="00A275C0"/>
    <w:rsid w:val="00A44906"/>
    <w:rsid w:val="00A602B4"/>
    <w:rsid w:val="00A647C1"/>
    <w:rsid w:val="00A73727"/>
    <w:rsid w:val="00A86AB4"/>
    <w:rsid w:val="00A8764E"/>
    <w:rsid w:val="00A93A14"/>
    <w:rsid w:val="00AB2B9D"/>
    <w:rsid w:val="00AC229F"/>
    <w:rsid w:val="00AD6860"/>
    <w:rsid w:val="00B004BF"/>
    <w:rsid w:val="00B0148A"/>
    <w:rsid w:val="00B02006"/>
    <w:rsid w:val="00B11033"/>
    <w:rsid w:val="00B1179D"/>
    <w:rsid w:val="00B11ACB"/>
    <w:rsid w:val="00B1482F"/>
    <w:rsid w:val="00B150D3"/>
    <w:rsid w:val="00B223FD"/>
    <w:rsid w:val="00B26659"/>
    <w:rsid w:val="00B42372"/>
    <w:rsid w:val="00B46A5E"/>
    <w:rsid w:val="00B61C22"/>
    <w:rsid w:val="00B63FE0"/>
    <w:rsid w:val="00B80496"/>
    <w:rsid w:val="00B8758F"/>
    <w:rsid w:val="00B929BB"/>
    <w:rsid w:val="00B95008"/>
    <w:rsid w:val="00B95153"/>
    <w:rsid w:val="00B962D8"/>
    <w:rsid w:val="00BB1B9C"/>
    <w:rsid w:val="00BB52CE"/>
    <w:rsid w:val="00BB5570"/>
    <w:rsid w:val="00BB6E13"/>
    <w:rsid w:val="00BC5B12"/>
    <w:rsid w:val="00BC78A2"/>
    <w:rsid w:val="00BE10C5"/>
    <w:rsid w:val="00C03DFC"/>
    <w:rsid w:val="00C11982"/>
    <w:rsid w:val="00C24864"/>
    <w:rsid w:val="00C34CB1"/>
    <w:rsid w:val="00C34DB8"/>
    <w:rsid w:val="00C456CD"/>
    <w:rsid w:val="00C46A2D"/>
    <w:rsid w:val="00C4738B"/>
    <w:rsid w:val="00C6760E"/>
    <w:rsid w:val="00C74786"/>
    <w:rsid w:val="00C91597"/>
    <w:rsid w:val="00CA5E69"/>
    <w:rsid w:val="00CB4CD9"/>
    <w:rsid w:val="00CB7784"/>
    <w:rsid w:val="00CC1472"/>
    <w:rsid w:val="00CC47C4"/>
    <w:rsid w:val="00CC5E7E"/>
    <w:rsid w:val="00CC650C"/>
    <w:rsid w:val="00CD3C8C"/>
    <w:rsid w:val="00CD4724"/>
    <w:rsid w:val="00CD6A20"/>
    <w:rsid w:val="00CE7662"/>
    <w:rsid w:val="00CF7BBD"/>
    <w:rsid w:val="00D00251"/>
    <w:rsid w:val="00D00D28"/>
    <w:rsid w:val="00D02B63"/>
    <w:rsid w:val="00D11488"/>
    <w:rsid w:val="00D21C75"/>
    <w:rsid w:val="00D5436A"/>
    <w:rsid w:val="00D556FC"/>
    <w:rsid w:val="00D60B25"/>
    <w:rsid w:val="00D7267E"/>
    <w:rsid w:val="00D760E1"/>
    <w:rsid w:val="00D866AB"/>
    <w:rsid w:val="00D87BB8"/>
    <w:rsid w:val="00D92D56"/>
    <w:rsid w:val="00D95CC6"/>
    <w:rsid w:val="00D97E56"/>
    <w:rsid w:val="00DA2775"/>
    <w:rsid w:val="00DB2687"/>
    <w:rsid w:val="00DB4D26"/>
    <w:rsid w:val="00DB6357"/>
    <w:rsid w:val="00DB650D"/>
    <w:rsid w:val="00DC109F"/>
    <w:rsid w:val="00DD3DE7"/>
    <w:rsid w:val="00DE227F"/>
    <w:rsid w:val="00DE31B8"/>
    <w:rsid w:val="00E14470"/>
    <w:rsid w:val="00E32E75"/>
    <w:rsid w:val="00E471FF"/>
    <w:rsid w:val="00E64353"/>
    <w:rsid w:val="00E72D0B"/>
    <w:rsid w:val="00E83F32"/>
    <w:rsid w:val="00E90B4A"/>
    <w:rsid w:val="00E9300D"/>
    <w:rsid w:val="00EA251C"/>
    <w:rsid w:val="00EB4D9A"/>
    <w:rsid w:val="00EC0343"/>
    <w:rsid w:val="00EC13E2"/>
    <w:rsid w:val="00EC2D69"/>
    <w:rsid w:val="00EC30E9"/>
    <w:rsid w:val="00ED0FBE"/>
    <w:rsid w:val="00ED413A"/>
    <w:rsid w:val="00F0382A"/>
    <w:rsid w:val="00F152EF"/>
    <w:rsid w:val="00F364B1"/>
    <w:rsid w:val="00F41565"/>
    <w:rsid w:val="00F41AED"/>
    <w:rsid w:val="00F55A35"/>
    <w:rsid w:val="00F571EB"/>
    <w:rsid w:val="00F57D9C"/>
    <w:rsid w:val="00F85C09"/>
    <w:rsid w:val="00F9495E"/>
    <w:rsid w:val="00F9643D"/>
    <w:rsid w:val="00FB285D"/>
    <w:rsid w:val="00FB5D88"/>
    <w:rsid w:val="00FD31B5"/>
    <w:rsid w:val="00FD3D4B"/>
    <w:rsid w:val="00FD544A"/>
    <w:rsid w:val="00FE4F03"/>
    <w:rsid w:val="00FF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AEA32"/>
  <w15:docId w15:val="{E00E1ACC-0B7C-4D22-9338-2FD22687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E9"/>
    <w:pPr>
      <w:spacing w:before="120" w:after="120" w:line="240" w:lineRule="auto"/>
      <w:jc w:val="both"/>
    </w:pPr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0423A1"/>
    <w:pPr>
      <w:keepNext/>
      <w:keepLines/>
      <w:numPr>
        <w:numId w:val="18"/>
      </w:numPr>
      <w:pBdr>
        <w:bottom w:val="single" w:sz="8" w:space="1" w:color="2C2F7A" w:themeColor="accent1"/>
      </w:pBdr>
      <w:spacing w:before="360" w:after="36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2C2F7A" w:themeColor="accent1"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32EB"/>
    <w:pPr>
      <w:keepNext/>
      <w:keepLines/>
      <w:numPr>
        <w:ilvl w:val="1"/>
        <w:numId w:val="18"/>
      </w:numPr>
      <w:spacing w:before="240"/>
      <w:outlineLvl w:val="1"/>
    </w:pPr>
    <w:rPr>
      <w:rFonts w:asciiTheme="majorHAnsi" w:eastAsiaTheme="majorEastAsia" w:hAnsiTheme="majorHAnsi" w:cstheme="majorBidi"/>
      <w:b/>
      <w:bCs/>
      <w:color w:val="2C2F7A" w:themeColor="accen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4620"/>
    <w:pPr>
      <w:keepNext/>
      <w:keepLines/>
      <w:numPr>
        <w:ilvl w:val="2"/>
        <w:numId w:val="18"/>
      </w:numPr>
      <w:spacing w:before="240"/>
      <w:outlineLvl w:val="2"/>
    </w:pPr>
    <w:rPr>
      <w:rFonts w:asciiTheme="majorHAnsi" w:eastAsiaTheme="majorEastAsia" w:hAnsiTheme="majorHAnsi" w:cstheme="majorBidi"/>
      <w:b/>
      <w:bCs/>
      <w:color w:val="2C2F7A" w:themeColor="accent1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EA251C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2F7A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B02006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1235B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2006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6173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2006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6173C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2006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2006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87AE7"/>
    <w:pPr>
      <w:pBdr>
        <w:bottom w:val="single" w:sz="8" w:space="4" w:color="2C2F7A" w:themeColor="accent1"/>
      </w:pBdr>
      <w:spacing w:before="3000" w:after="0"/>
      <w:contextualSpacing/>
      <w:jc w:val="center"/>
    </w:pPr>
    <w:rPr>
      <w:rFonts w:ascii="Arial" w:eastAsiaTheme="majorEastAsia" w:hAnsi="Arial" w:cstheme="majorBidi"/>
      <w:b/>
      <w:color w:val="2C2F7A" w:themeColor="accent1"/>
      <w:spacing w:val="5"/>
      <w:kern w:val="28"/>
      <w:sz w:val="4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87AE7"/>
    <w:rPr>
      <w:rFonts w:ascii="Arial" w:eastAsiaTheme="majorEastAsia" w:hAnsi="Arial" w:cstheme="majorBidi"/>
      <w:b/>
      <w:color w:val="2C2F7A" w:themeColor="accent1"/>
      <w:spacing w:val="5"/>
      <w:kern w:val="28"/>
      <w:sz w:val="4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244B"/>
    <w:pPr>
      <w:numPr>
        <w:ilvl w:val="1"/>
      </w:numPr>
    </w:pPr>
    <w:rPr>
      <w:rFonts w:ascii="Arial" w:eastAsiaTheme="majorEastAsia" w:hAnsi="Arial" w:cstheme="majorBidi"/>
      <w:iCs/>
      <w:color w:val="2C2F7A" w:themeColor="accent1"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A244B"/>
    <w:rPr>
      <w:rFonts w:ascii="Arial" w:eastAsiaTheme="majorEastAsia" w:hAnsi="Arial" w:cstheme="majorBidi"/>
      <w:iCs/>
      <w:color w:val="2C2F7A" w:themeColor="accent1"/>
      <w:sz w:val="28"/>
      <w:szCs w:val="24"/>
    </w:rPr>
  </w:style>
  <w:style w:type="paragraph" w:styleId="Zhlav">
    <w:name w:val="header"/>
    <w:basedOn w:val="Normln"/>
    <w:link w:val="ZhlavChar"/>
    <w:uiPriority w:val="99"/>
    <w:unhideWhenUsed/>
    <w:rsid w:val="004E4F3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4F3D"/>
  </w:style>
  <w:style w:type="paragraph" w:styleId="Zpat">
    <w:name w:val="footer"/>
    <w:basedOn w:val="Normln"/>
    <w:link w:val="ZpatChar"/>
    <w:uiPriority w:val="99"/>
    <w:unhideWhenUsed/>
    <w:rsid w:val="004E4F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4F3D"/>
  </w:style>
  <w:style w:type="character" w:styleId="Hypertextovodkaz">
    <w:name w:val="Hyperlink"/>
    <w:basedOn w:val="Standardnpsmoodstavce"/>
    <w:uiPriority w:val="99"/>
    <w:unhideWhenUsed/>
    <w:rsid w:val="0019223A"/>
    <w:rPr>
      <w:color w:val="2C2F7A" w:themeColor="accent1"/>
      <w:u w:val="single"/>
    </w:rPr>
  </w:style>
  <w:style w:type="character" w:styleId="Odkazintenzivn">
    <w:name w:val="Intense Reference"/>
    <w:basedOn w:val="Standardnpsmoodstavce"/>
    <w:uiPriority w:val="32"/>
    <w:rsid w:val="00886605"/>
    <w:rPr>
      <w:b/>
      <w:bCs/>
      <w:smallCaps/>
      <w:color w:val="2C2F7A" w:themeColor="accent1"/>
      <w:spacing w:val="5"/>
    </w:rPr>
  </w:style>
  <w:style w:type="paragraph" w:customStyle="1" w:styleId="Zhlav-zpat">
    <w:name w:val="Záhlaví-zápatí"/>
    <w:basedOn w:val="Normln"/>
    <w:link w:val="Zhlav-zpatChar"/>
    <w:qFormat/>
    <w:rsid w:val="00FE4F03"/>
    <w:pPr>
      <w:jc w:val="left"/>
    </w:pPr>
    <w:rPr>
      <w:color w:val="2C2F7A" w:themeColor="accent1"/>
      <w:sz w:val="20"/>
      <w:szCs w:val="18"/>
    </w:rPr>
  </w:style>
  <w:style w:type="table" w:styleId="Mkatabulky">
    <w:name w:val="Table Grid"/>
    <w:basedOn w:val="Normlntabulka"/>
    <w:uiPriority w:val="59"/>
    <w:rsid w:val="0049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-zpatChar">
    <w:name w:val="Záhlaví-zápatí Char"/>
    <w:basedOn w:val="Standardnpsmoodstavce"/>
    <w:link w:val="Zhlav-zpat"/>
    <w:rsid w:val="00FE4F03"/>
    <w:rPr>
      <w:rFonts w:ascii="Cambria" w:hAnsi="Cambria"/>
      <w:color w:val="2C2F7A" w:themeColor="accent1"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AD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ADA"/>
    <w:rPr>
      <w:rFonts w:ascii="Tahoma" w:hAnsi="Tahoma" w:cs="Tahoma"/>
      <w:sz w:val="16"/>
      <w:szCs w:val="16"/>
    </w:rPr>
  </w:style>
  <w:style w:type="paragraph" w:customStyle="1" w:styleId="Autoi">
    <w:name w:val="Autoři"/>
    <w:basedOn w:val="Normln"/>
    <w:link w:val="AutoiChar"/>
    <w:qFormat/>
    <w:rsid w:val="009650D5"/>
    <w:pPr>
      <w:spacing w:before="0" w:after="0"/>
    </w:pPr>
  </w:style>
  <w:style w:type="character" w:customStyle="1" w:styleId="Nadpis1Char">
    <w:name w:val="Nadpis 1 Char"/>
    <w:basedOn w:val="Standardnpsmoodstavce"/>
    <w:link w:val="Nadpis1"/>
    <w:uiPriority w:val="9"/>
    <w:rsid w:val="000423A1"/>
    <w:rPr>
      <w:rFonts w:asciiTheme="majorHAnsi" w:eastAsiaTheme="majorEastAsia" w:hAnsiTheme="majorHAnsi" w:cstheme="majorBidi"/>
      <w:b/>
      <w:bCs/>
      <w:color w:val="2C2F7A" w:themeColor="accent1"/>
      <w:sz w:val="40"/>
      <w:szCs w:val="28"/>
    </w:rPr>
  </w:style>
  <w:style w:type="character" w:customStyle="1" w:styleId="AutoiChar">
    <w:name w:val="Autoři Char"/>
    <w:basedOn w:val="Standardnpsmoodstavce"/>
    <w:link w:val="Autoi"/>
    <w:rsid w:val="009650D5"/>
  </w:style>
  <w:style w:type="paragraph" w:customStyle="1" w:styleId="Obsah">
    <w:name w:val="Obsah"/>
    <w:basedOn w:val="Podnadpis"/>
    <w:link w:val="ObsahChar"/>
    <w:rsid w:val="00805A16"/>
    <w:rPr>
      <w:rFonts w:asciiTheme="minorHAnsi" w:hAnsiTheme="minorHAnsi"/>
      <w:b/>
      <w:sz w:val="3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13E1"/>
    <w:pPr>
      <w:spacing w:before="480" w:after="0" w:line="276" w:lineRule="auto"/>
      <w:outlineLvl w:val="9"/>
    </w:pPr>
    <w:rPr>
      <w:sz w:val="28"/>
      <w:lang w:eastAsia="cs-CZ"/>
    </w:rPr>
  </w:style>
  <w:style w:type="character" w:customStyle="1" w:styleId="ObsahChar">
    <w:name w:val="Obsah Char"/>
    <w:basedOn w:val="PodnadpisChar"/>
    <w:link w:val="Obsah"/>
    <w:rsid w:val="00805A16"/>
    <w:rPr>
      <w:rFonts w:ascii="Calibri Light" w:eastAsiaTheme="majorEastAsia" w:hAnsi="Calibri Light" w:cstheme="majorBidi"/>
      <w:b/>
      <w:iCs/>
      <w:color w:val="21235B" w:themeColor="accent1" w:themeShade="BF"/>
      <w:sz w:val="36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0C13E1"/>
    <w:pPr>
      <w:spacing w:after="100"/>
    </w:pPr>
  </w:style>
  <w:style w:type="paragraph" w:styleId="Odstavecseseznamem">
    <w:name w:val="List Paragraph"/>
    <w:aliases w:val="Seznam odrážkový"/>
    <w:basedOn w:val="Normln"/>
    <w:link w:val="OdstavecseseznamemChar"/>
    <w:uiPriority w:val="34"/>
    <w:qFormat/>
    <w:rsid w:val="00B929BB"/>
    <w:pPr>
      <w:numPr>
        <w:numId w:val="7"/>
      </w:numPr>
      <w:ind w:left="568" w:hanging="284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A244B"/>
    <w:rPr>
      <w:rFonts w:asciiTheme="majorHAnsi" w:eastAsiaTheme="majorEastAsia" w:hAnsiTheme="majorHAnsi" w:cstheme="majorBidi"/>
      <w:b/>
      <w:bCs/>
      <w:color w:val="2C2F7A" w:themeColor="accen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A4620"/>
    <w:rPr>
      <w:rFonts w:asciiTheme="majorHAnsi" w:eastAsiaTheme="majorEastAsia" w:hAnsiTheme="majorHAnsi" w:cstheme="majorBidi"/>
      <w:b/>
      <w:bCs/>
      <w:color w:val="2C2F7A" w:themeColor="accent1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0E459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E4599"/>
    <w:pPr>
      <w:spacing w:after="100"/>
      <w:ind w:left="440"/>
    </w:pPr>
  </w:style>
  <w:style w:type="paragraph" w:customStyle="1" w:styleId="Obrzek-popis">
    <w:name w:val="Obrázek - popis"/>
    <w:basedOn w:val="Normln"/>
    <w:link w:val="Obrzek-popisChar"/>
    <w:qFormat/>
    <w:rsid w:val="001E5773"/>
    <w:pPr>
      <w:spacing w:after="360"/>
    </w:pPr>
    <w:rPr>
      <w:color w:val="2C2F7A" w:themeColor="accent1"/>
    </w:rPr>
  </w:style>
  <w:style w:type="paragraph" w:customStyle="1" w:styleId="Tabulka-popis">
    <w:name w:val="Tabulka - popis"/>
    <w:basedOn w:val="Obrzek-popis"/>
    <w:link w:val="Tabulka-popisChar"/>
    <w:qFormat/>
    <w:rsid w:val="00226FA1"/>
    <w:pPr>
      <w:spacing w:before="360" w:after="120"/>
    </w:pPr>
  </w:style>
  <w:style w:type="character" w:customStyle="1" w:styleId="Obrzek-popisChar">
    <w:name w:val="Obrázek - popis Char"/>
    <w:basedOn w:val="Standardnpsmoodstavce"/>
    <w:link w:val="Obrzek-popis"/>
    <w:rsid w:val="001E5773"/>
    <w:rPr>
      <w:rFonts w:ascii="Cambria" w:hAnsi="Cambria"/>
      <w:color w:val="2C2F7A" w:themeColor="accent1"/>
    </w:rPr>
  </w:style>
  <w:style w:type="table" w:styleId="Svtlstnovn">
    <w:name w:val="Light Shading"/>
    <w:basedOn w:val="Normlntabulka"/>
    <w:uiPriority w:val="60"/>
    <w:rsid w:val="00200E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abulka-popisChar">
    <w:name w:val="Tabulka - popis Char"/>
    <w:basedOn w:val="Obrzek-popisChar"/>
    <w:link w:val="Tabulka-popis"/>
    <w:rsid w:val="00226FA1"/>
    <w:rPr>
      <w:rFonts w:ascii="Cambria" w:hAnsi="Cambria"/>
      <w:color w:val="2C2F7A" w:themeColor="accent1"/>
    </w:rPr>
  </w:style>
  <w:style w:type="paragraph" w:customStyle="1" w:styleId="Tabulka-obsah">
    <w:name w:val="Tabulka - obsah"/>
    <w:basedOn w:val="Normln"/>
    <w:link w:val="Tabulka-obsahChar"/>
    <w:qFormat/>
    <w:rsid w:val="004513EB"/>
    <w:pPr>
      <w:spacing w:before="0" w:after="0"/>
      <w:jc w:val="left"/>
    </w:pPr>
    <w:rPr>
      <w:rFonts w:asciiTheme="minorHAnsi" w:hAnsiTheme="minorHAnsi"/>
      <w:bCs/>
      <w:color w:val="000000" w:themeColor="text1" w:themeShade="BF"/>
      <w:sz w:val="20"/>
    </w:rPr>
  </w:style>
  <w:style w:type="table" w:styleId="Svtlstnovnzvraznn1">
    <w:name w:val="Light Shading Accent 1"/>
    <w:basedOn w:val="Normlntabulka"/>
    <w:uiPriority w:val="60"/>
    <w:rsid w:val="006468AC"/>
    <w:pPr>
      <w:spacing w:after="0" w:line="240" w:lineRule="auto"/>
    </w:pPr>
    <w:rPr>
      <w:color w:val="29609C"/>
    </w:rPr>
    <w:tblPr>
      <w:tblStyleRowBandSize w:val="1"/>
      <w:tblStyleColBandSize w:val="1"/>
      <w:tblBorders>
        <w:top w:val="single" w:sz="8" w:space="0" w:color="2C2F7A" w:themeColor="accent1"/>
        <w:bottom w:val="single" w:sz="8" w:space="0" w:color="2C2F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2F7A" w:themeColor="accent1"/>
          <w:left w:val="nil"/>
          <w:bottom w:val="single" w:sz="8" w:space="0" w:color="2C2F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2F7A" w:themeColor="accent1"/>
          <w:left w:val="nil"/>
          <w:bottom w:val="single" w:sz="8" w:space="0" w:color="2C2F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1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1E8" w:themeFill="accent1" w:themeFillTint="3F"/>
      </w:tcPr>
    </w:tblStylePr>
  </w:style>
  <w:style w:type="character" w:customStyle="1" w:styleId="Tabulka-obsahChar">
    <w:name w:val="Tabulka - obsah Char"/>
    <w:basedOn w:val="Standardnpsmoodstavce"/>
    <w:link w:val="Tabulka-obsah"/>
    <w:rsid w:val="004513EB"/>
    <w:rPr>
      <w:bCs/>
      <w:color w:val="000000" w:themeColor="text1" w:themeShade="BF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EA251C"/>
    <w:rPr>
      <w:rFonts w:asciiTheme="majorHAnsi" w:eastAsiaTheme="majorEastAsia" w:hAnsiTheme="majorHAnsi" w:cstheme="majorBidi"/>
      <w:i/>
      <w:iCs/>
      <w:color w:val="2C2F7A" w:themeColor="accent1"/>
    </w:rPr>
  </w:style>
  <w:style w:type="table" w:styleId="Svtlseznamzvraznn1">
    <w:name w:val="Light List Accent 1"/>
    <w:basedOn w:val="Normlntabulka"/>
    <w:uiPriority w:val="61"/>
    <w:rsid w:val="007A0386"/>
    <w:pPr>
      <w:spacing w:after="0" w:line="240" w:lineRule="auto"/>
    </w:pPr>
    <w:tblPr>
      <w:tblStyleRowBandSize w:val="1"/>
      <w:tblStyleColBandSize w:val="1"/>
      <w:tblBorders>
        <w:top w:val="single" w:sz="8" w:space="0" w:color="2C2F7A" w:themeColor="accent1"/>
        <w:left w:val="single" w:sz="8" w:space="0" w:color="2C2F7A" w:themeColor="accent1"/>
        <w:bottom w:val="single" w:sz="8" w:space="0" w:color="2C2F7A" w:themeColor="accent1"/>
        <w:right w:val="single" w:sz="8" w:space="0" w:color="2C2F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2F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2F7A" w:themeColor="accent1"/>
          <w:left w:val="single" w:sz="8" w:space="0" w:color="2C2F7A" w:themeColor="accent1"/>
          <w:bottom w:val="single" w:sz="8" w:space="0" w:color="2C2F7A" w:themeColor="accent1"/>
          <w:right w:val="single" w:sz="8" w:space="0" w:color="2C2F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2F7A" w:themeColor="accent1"/>
          <w:left w:val="single" w:sz="8" w:space="0" w:color="2C2F7A" w:themeColor="accent1"/>
          <w:bottom w:val="single" w:sz="8" w:space="0" w:color="2C2F7A" w:themeColor="accent1"/>
          <w:right w:val="single" w:sz="8" w:space="0" w:color="2C2F7A" w:themeColor="accent1"/>
        </w:tcBorders>
      </w:tcPr>
    </w:tblStylePr>
    <w:tblStylePr w:type="band1Horz">
      <w:tblPr/>
      <w:tcPr>
        <w:tcBorders>
          <w:top w:val="single" w:sz="8" w:space="0" w:color="2C2F7A" w:themeColor="accent1"/>
          <w:left w:val="single" w:sz="8" w:space="0" w:color="2C2F7A" w:themeColor="accent1"/>
          <w:bottom w:val="single" w:sz="8" w:space="0" w:color="2C2F7A" w:themeColor="accent1"/>
          <w:right w:val="single" w:sz="8" w:space="0" w:color="2C2F7A" w:themeColor="accent1"/>
        </w:tcBorders>
      </w:tcPr>
    </w:tblStylePr>
  </w:style>
  <w:style w:type="table" w:styleId="Stednstnovn1zvraznn1">
    <w:name w:val="Medium Shading 1 Accent 1"/>
    <w:basedOn w:val="Normlntabulka"/>
    <w:uiPriority w:val="63"/>
    <w:rsid w:val="00F152EF"/>
    <w:pPr>
      <w:spacing w:after="0" w:line="240" w:lineRule="auto"/>
    </w:pPr>
    <w:tblPr>
      <w:tblStyleRowBandSize w:val="1"/>
      <w:tblStyleColBandSize w:val="1"/>
      <w:tblBorders>
        <w:top w:val="single" w:sz="8" w:space="0" w:color="4347B9" w:themeColor="accent1" w:themeTint="BF"/>
        <w:left w:val="single" w:sz="8" w:space="0" w:color="4347B9" w:themeColor="accent1" w:themeTint="BF"/>
        <w:bottom w:val="single" w:sz="8" w:space="0" w:color="4347B9" w:themeColor="accent1" w:themeTint="BF"/>
        <w:right w:val="single" w:sz="8" w:space="0" w:color="4347B9" w:themeColor="accent1" w:themeTint="BF"/>
        <w:insideH w:val="single" w:sz="8" w:space="0" w:color="4347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47B9" w:themeColor="accent1" w:themeTint="BF"/>
          <w:left w:val="single" w:sz="8" w:space="0" w:color="4347B9" w:themeColor="accent1" w:themeTint="BF"/>
          <w:bottom w:val="single" w:sz="8" w:space="0" w:color="4347B9" w:themeColor="accent1" w:themeTint="BF"/>
          <w:right w:val="single" w:sz="8" w:space="0" w:color="4347B9" w:themeColor="accent1" w:themeTint="BF"/>
          <w:insideH w:val="nil"/>
          <w:insideV w:val="nil"/>
        </w:tcBorders>
        <w:shd w:val="clear" w:color="auto" w:fill="2C2F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47B9" w:themeColor="accent1" w:themeTint="BF"/>
          <w:left w:val="single" w:sz="8" w:space="0" w:color="4347B9" w:themeColor="accent1" w:themeTint="BF"/>
          <w:bottom w:val="single" w:sz="8" w:space="0" w:color="4347B9" w:themeColor="accent1" w:themeTint="BF"/>
          <w:right w:val="single" w:sz="8" w:space="0" w:color="4347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1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1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Zdraznnintenzivn">
    <w:name w:val="Intense Emphasis"/>
    <w:basedOn w:val="Standardnpsmoodstavce"/>
    <w:uiPriority w:val="21"/>
    <w:rsid w:val="00226FA1"/>
    <w:rPr>
      <w:i/>
      <w:iCs/>
      <w:color w:val="2C2F7A" w:themeColor="accent1"/>
    </w:rPr>
  </w:style>
  <w:style w:type="numbering" w:customStyle="1" w:styleId="Aktulnseznam1">
    <w:name w:val="Aktuální seznam1"/>
    <w:uiPriority w:val="99"/>
    <w:rsid w:val="0019223A"/>
    <w:pPr>
      <w:numPr>
        <w:numId w:val="8"/>
      </w:numPr>
    </w:pPr>
  </w:style>
  <w:style w:type="table" w:styleId="Tabulkasmkou4zvraznn1">
    <w:name w:val="Grid Table 4 Accent 1"/>
    <w:basedOn w:val="Normlntabulka"/>
    <w:uiPriority w:val="49"/>
    <w:rsid w:val="000C2413"/>
    <w:pPr>
      <w:spacing w:after="0" w:line="240" w:lineRule="auto"/>
    </w:pPr>
    <w:tblPr>
      <w:tblStyleRowBandSize w:val="1"/>
      <w:tblStyleColBandSize w:val="1"/>
      <w:tblBorders>
        <w:top w:val="single" w:sz="4" w:space="0" w:color="676AC8" w:themeColor="accent1" w:themeTint="99"/>
        <w:left w:val="single" w:sz="4" w:space="0" w:color="676AC8" w:themeColor="accent1" w:themeTint="99"/>
        <w:bottom w:val="single" w:sz="4" w:space="0" w:color="676AC8" w:themeColor="accent1" w:themeTint="99"/>
        <w:right w:val="single" w:sz="4" w:space="0" w:color="676AC8" w:themeColor="accent1" w:themeTint="99"/>
        <w:insideH w:val="single" w:sz="4" w:space="0" w:color="676AC8" w:themeColor="accent1" w:themeTint="99"/>
        <w:insideV w:val="single" w:sz="4" w:space="0" w:color="676A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2F7A" w:themeColor="accent1"/>
          <w:left w:val="single" w:sz="4" w:space="0" w:color="2C2F7A" w:themeColor="accent1"/>
          <w:bottom w:val="single" w:sz="4" w:space="0" w:color="2C2F7A" w:themeColor="accent1"/>
          <w:right w:val="single" w:sz="4" w:space="0" w:color="2C2F7A" w:themeColor="accent1"/>
          <w:insideH w:val="nil"/>
          <w:insideV w:val="nil"/>
        </w:tcBorders>
        <w:shd w:val="clear" w:color="auto" w:fill="2C2F7A" w:themeFill="accent1"/>
      </w:tcPr>
    </w:tblStylePr>
    <w:tblStylePr w:type="lastRow">
      <w:rPr>
        <w:b/>
        <w:bCs/>
      </w:rPr>
      <w:tblPr/>
      <w:tcPr>
        <w:tcBorders>
          <w:top w:val="double" w:sz="4" w:space="0" w:color="2C2F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DEC" w:themeFill="accent1" w:themeFillTint="33"/>
      </w:tcPr>
    </w:tblStylePr>
    <w:tblStylePr w:type="band1Horz">
      <w:tblPr/>
      <w:tcPr>
        <w:shd w:val="clear" w:color="auto" w:fill="CCCDEC" w:themeFill="accent1" w:themeFillTint="33"/>
      </w:tcPr>
    </w:tblStylePr>
  </w:style>
  <w:style w:type="character" w:customStyle="1" w:styleId="Nadpis5Char">
    <w:name w:val="Nadpis 5 Char"/>
    <w:basedOn w:val="Standardnpsmoodstavce"/>
    <w:link w:val="Nadpis5"/>
    <w:uiPriority w:val="9"/>
    <w:semiHidden/>
    <w:rsid w:val="00B02006"/>
    <w:rPr>
      <w:rFonts w:asciiTheme="majorHAnsi" w:eastAsiaTheme="majorEastAsia" w:hAnsiTheme="majorHAnsi" w:cstheme="majorBidi"/>
      <w:color w:val="21235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2006"/>
    <w:rPr>
      <w:rFonts w:asciiTheme="majorHAnsi" w:eastAsiaTheme="majorEastAsia" w:hAnsiTheme="majorHAnsi" w:cstheme="majorBidi"/>
      <w:color w:val="16173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2006"/>
    <w:rPr>
      <w:rFonts w:asciiTheme="majorHAnsi" w:eastAsiaTheme="majorEastAsia" w:hAnsiTheme="majorHAnsi" w:cstheme="majorBidi"/>
      <w:i/>
      <w:iCs/>
      <w:color w:val="16173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20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20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ulka-zhlav">
    <w:name w:val="Tabulka - záhlaví"/>
    <w:basedOn w:val="Normln"/>
    <w:link w:val="Tabulka-zhlavChar"/>
    <w:qFormat/>
    <w:rsid w:val="004513EB"/>
    <w:pPr>
      <w:spacing w:before="0" w:after="0"/>
      <w:jc w:val="left"/>
    </w:pPr>
    <w:rPr>
      <w:rFonts w:asciiTheme="minorHAnsi" w:hAnsiTheme="minorHAnsi"/>
      <w:b/>
      <w:color w:val="FFFFFF" w:themeColor="background1"/>
      <w:sz w:val="20"/>
      <w:szCs w:val="20"/>
    </w:rPr>
  </w:style>
  <w:style w:type="paragraph" w:customStyle="1" w:styleId="Seznamslovan">
    <w:name w:val="Seznam číslovaný"/>
    <w:basedOn w:val="Odstavecseseznamem"/>
    <w:link w:val="SeznamslovanChar"/>
    <w:qFormat/>
    <w:rsid w:val="006F12E9"/>
    <w:pPr>
      <w:numPr>
        <w:numId w:val="20"/>
      </w:numPr>
      <w:ind w:left="568" w:hanging="284"/>
    </w:pPr>
  </w:style>
  <w:style w:type="character" w:customStyle="1" w:styleId="Tabulka-zhlavChar">
    <w:name w:val="Tabulka - záhlaví Char"/>
    <w:basedOn w:val="Tabulka-obsahChar"/>
    <w:link w:val="Tabulka-zhlav"/>
    <w:rsid w:val="004513EB"/>
    <w:rPr>
      <w:b/>
      <w:bCs w:val="0"/>
      <w:color w:val="FFFFFF" w:themeColor="background1"/>
      <w:sz w:val="20"/>
      <w:szCs w:val="20"/>
    </w:rPr>
  </w:style>
  <w:style w:type="character" w:customStyle="1" w:styleId="OdstavecseseznamemChar">
    <w:name w:val="Odstavec se seznamem Char"/>
    <w:aliases w:val="Seznam odrážkový Char"/>
    <w:basedOn w:val="Standardnpsmoodstavce"/>
    <w:link w:val="Odstavecseseznamem"/>
    <w:uiPriority w:val="34"/>
    <w:rsid w:val="00B929BB"/>
    <w:rPr>
      <w:rFonts w:ascii="Cambria" w:hAnsi="Cambria"/>
    </w:rPr>
  </w:style>
  <w:style w:type="character" w:customStyle="1" w:styleId="SeznamslovanChar">
    <w:name w:val="Seznam číslovaný Char"/>
    <w:basedOn w:val="OdstavecseseznamemChar"/>
    <w:link w:val="Seznamslovan"/>
    <w:rsid w:val="006F12E9"/>
    <w:rPr>
      <w:rFonts w:ascii="Cambria" w:hAnsi="Cambria"/>
    </w:rPr>
  </w:style>
  <w:style w:type="character" w:styleId="Nevyeenzmnka">
    <w:name w:val="Unresolved Mention"/>
    <w:basedOn w:val="Standardnpsmoodstavce"/>
    <w:uiPriority w:val="99"/>
    <w:semiHidden/>
    <w:unhideWhenUsed/>
    <w:rsid w:val="00A602B4"/>
    <w:rPr>
      <w:color w:val="605E5C"/>
      <w:shd w:val="clear" w:color="auto" w:fill="E1DFDD"/>
    </w:rPr>
  </w:style>
  <w:style w:type="numbering" w:customStyle="1" w:styleId="Aktulnseznam2">
    <w:name w:val="Aktuální seznam2"/>
    <w:uiPriority w:val="99"/>
    <w:rsid w:val="00D02B63"/>
    <w:pPr>
      <w:numPr>
        <w:numId w:val="22"/>
      </w:numPr>
    </w:pPr>
  </w:style>
  <w:style w:type="paragraph" w:styleId="Revize">
    <w:name w:val="Revision"/>
    <w:hidden/>
    <w:uiPriority w:val="99"/>
    <w:semiHidden/>
    <w:rsid w:val="008C62B7"/>
    <w:pPr>
      <w:spacing w:after="0" w:line="240" w:lineRule="auto"/>
    </w:pPr>
    <w:rPr>
      <w:rFonts w:ascii="Cambria" w:hAnsi="Cambria"/>
    </w:rPr>
  </w:style>
  <w:style w:type="paragraph" w:styleId="Normlnweb">
    <w:name w:val="Normal (Web)"/>
    <w:basedOn w:val="Normln"/>
    <w:link w:val="NormlnwebChar"/>
    <w:uiPriority w:val="99"/>
    <w:unhideWhenUsed/>
    <w:rsid w:val="00062A9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74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7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74B5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4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4B5"/>
    <w:rPr>
      <w:rFonts w:ascii="Cambria" w:hAnsi="Cambria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0B58A0"/>
    <w:rPr>
      <w:b/>
      <w:bCs/>
    </w:rPr>
  </w:style>
  <w:style w:type="paragraph" w:customStyle="1" w:styleId="EndNoteBibliographyTitle">
    <w:name w:val="EndNote Bibliography Title"/>
    <w:basedOn w:val="Normln"/>
    <w:link w:val="EndNoteBibliographyTitleChar"/>
    <w:rsid w:val="00C11982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Tabulka-obsahChar"/>
    <w:link w:val="EndNoteBibliographyTitle"/>
    <w:rsid w:val="00C11982"/>
    <w:rPr>
      <w:rFonts w:ascii="Cambria" w:hAnsi="Cambria"/>
      <w:bCs w:val="0"/>
      <w:noProof/>
      <w:color w:val="000000" w:themeColor="text1" w:themeShade="BF"/>
      <w:sz w:val="20"/>
      <w:lang w:val="en-US"/>
    </w:rPr>
  </w:style>
  <w:style w:type="paragraph" w:customStyle="1" w:styleId="EndNoteBibliography">
    <w:name w:val="EndNote Bibliography"/>
    <w:basedOn w:val="Normln"/>
    <w:link w:val="EndNoteBibliographyChar"/>
    <w:rsid w:val="00C11982"/>
    <w:rPr>
      <w:noProof/>
      <w:lang w:val="en-US"/>
    </w:rPr>
  </w:style>
  <w:style w:type="character" w:customStyle="1" w:styleId="EndNoteBibliographyChar">
    <w:name w:val="EndNote Bibliography Char"/>
    <w:basedOn w:val="Tabulka-obsahChar"/>
    <w:link w:val="EndNoteBibliography"/>
    <w:rsid w:val="00C11982"/>
    <w:rPr>
      <w:rFonts w:ascii="Cambria" w:hAnsi="Cambria"/>
      <w:bCs w:val="0"/>
      <w:noProof/>
      <w:color w:val="000000" w:themeColor="text1" w:themeShade="BF"/>
      <w:sz w:val="20"/>
      <w:lang w:val="en-US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BB557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kojeni.cz/wp-content/uploads/2020/03/bfhi-implementation-2018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ncbi.nlm.nih.gov/books/NBK48781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po.mzcr.cz/upload/files/strategie-baby-friendly-hospital-initiative-2018-v-ceske-republice-vyporadaci-tabulka-strategie-baby-friendly-hospital-initiative-66f3fe3da9b5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who.int/publications/i/item/9789240005648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po.mzcr.cz/upload/files/strategie-baby-friendly-hospital-initiative-2018-v-ceske-republice-strategie-baby-friendly-hospital-initiative-2018-v-ceske-republice-66f3c8ce236d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eta.majercikova@spokojeni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2.png"/><Relationship Id="rId7" Type="http://schemas.openxmlformats.org/officeDocument/2006/relationships/image" Target="media/image8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ugabrielovaa\Documents\OD\Formul&#225;&#345;e\nikez-dokument_posudekoponenta_pd.dotx" TargetMode="External"/></Relationships>
</file>

<file path=word/theme/theme1.xml><?xml version="1.0" encoding="utf-8"?>
<a:theme xmlns:a="http://schemas.openxmlformats.org/drawingml/2006/main" name="Motiv systému Office">
  <a:themeElements>
    <a:clrScheme name="Vlastní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C2F7A"/>
      </a:accent1>
      <a:accent2>
        <a:srgbClr val="93A8CD"/>
      </a:accent2>
      <a:accent3>
        <a:srgbClr val="DA2B47"/>
      </a:accent3>
      <a:accent4>
        <a:srgbClr val="BBC747"/>
      </a:accent4>
      <a:accent5>
        <a:srgbClr val="7B3C8E"/>
      </a:accent5>
      <a:accent6>
        <a:srgbClr val="E6B03C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3b6cb-c7c7-49f8-8712-18ffb54d47fc">
      <Terms xmlns="http://schemas.microsoft.com/office/infopath/2007/PartnerControls"/>
    </lcf76f155ced4ddcb4097134ff3c332f>
    <TaxCatchAll xmlns="3cb88730-17eb-40bc-acb9-5f80b12430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3BA8B75DAD514CBDA42A7240AC13B2" ma:contentTypeVersion="15" ma:contentTypeDescription="Vytvoří nový dokument" ma:contentTypeScope="" ma:versionID="4ecebfee6ed0fba619a4cf1754543029">
  <xsd:schema xmlns:xsd="http://www.w3.org/2001/XMLSchema" xmlns:xs="http://www.w3.org/2001/XMLSchema" xmlns:p="http://schemas.microsoft.com/office/2006/metadata/properties" xmlns:ns2="9393b6cb-c7c7-49f8-8712-18ffb54d47fc" xmlns:ns3="3cb88730-17eb-40bc-acb9-5f80b1243002" targetNamespace="http://schemas.microsoft.com/office/2006/metadata/properties" ma:root="true" ma:fieldsID="4cf9abfc5dce0577709c4ceb099d125b" ns2:_="" ns3:_="">
    <xsd:import namespace="9393b6cb-c7c7-49f8-8712-18ffb54d47fc"/>
    <xsd:import namespace="3cb88730-17eb-40bc-acb9-5f80b1243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3b6cb-c7c7-49f8-8712-18ffb54d4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88730-17eb-40bc-acb9-5f80b124300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702accf-5f92-4701-97b8-312c5611f733}" ma:internalName="TaxCatchAll" ma:showField="CatchAllData" ma:web="3cb88730-17eb-40bc-acb9-5f80b1243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738F820-7CA2-4621-BF12-DC83B3741C66}">
  <ds:schemaRefs>
    <ds:schemaRef ds:uri="http://schemas.microsoft.com/office/2006/metadata/properties"/>
    <ds:schemaRef ds:uri="http://schemas.microsoft.com/office/infopath/2007/PartnerControls"/>
    <ds:schemaRef ds:uri="9393b6cb-c7c7-49f8-8712-18ffb54d47fc"/>
    <ds:schemaRef ds:uri="3cb88730-17eb-40bc-acb9-5f80b1243002"/>
  </ds:schemaRefs>
</ds:datastoreItem>
</file>

<file path=customXml/itemProps2.xml><?xml version="1.0" encoding="utf-8"?>
<ds:datastoreItem xmlns:ds="http://schemas.openxmlformats.org/officeDocument/2006/customXml" ds:itemID="{C7CF2D73-00A7-43B7-96A8-3A5A74616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A9BFD-EDEC-4117-974A-62AE1688D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3b6cb-c7c7-49f8-8712-18ffb54d47fc"/>
    <ds:schemaRef ds:uri="3cb88730-17eb-40bc-acb9-5f80b1243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3FF2A-10C2-46B0-B786-2F8050CC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nikez-dokument_posudekoponenta_pd.dotx</Template>
  <TotalTime>3</TotalTime>
  <Pages>10</Pages>
  <Words>4404</Words>
  <Characters>25989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Gabrielová Andrea Mgr.</dc:creator>
  <cp:lastModifiedBy>Pavlovska Iuliia, Mgr. Ph.D.</cp:lastModifiedBy>
  <cp:revision>3</cp:revision>
  <cp:lastPrinted>2018-06-05T11:05:00Z</cp:lastPrinted>
  <dcterms:created xsi:type="dcterms:W3CDTF">2025-12-15T22:27:00Z</dcterms:created>
  <dcterms:modified xsi:type="dcterms:W3CDTF">2025-12-19T07:39:00Z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0x010100633BA8B75DAD514CBDA42A7240AC13B2</vt:lpwstr>
  </property>
  <property fmtid="{D5CDD505-2E9C-101B-9397-08002B2CF9AE}" pid="3" name="MediaServiceImageTags">
    <vt:lpwstr/>
  </property>
  <property fmtid="{D5CDD505-2E9C-101B-9397-08002B2CF9AE}" pid="4" name="GrammarlyDocumentId">
    <vt:lpwstr>42d07f16-e9f9-4c3d-a66b-bfdfe3e31c59</vt:lpwstr>
  </property>
</Properties>
</file>